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72B7F" w14:textId="4C944889" w:rsidR="005366B0" w:rsidRDefault="001243BD" w:rsidP="001243BD">
      <w:pPr>
        <w:spacing w:after="0" w:line="480" w:lineRule="auto"/>
        <w:rPr>
          <w:sz w:val="24"/>
          <w:szCs w:val="24"/>
        </w:rPr>
      </w:pPr>
      <w:r w:rsidRPr="001243BD">
        <w:rPr>
          <w:sz w:val="24"/>
          <w:szCs w:val="24"/>
        </w:rPr>
        <w:t>Mark A. Graber</w:t>
      </w:r>
    </w:p>
    <w:p w14:paraId="5EADF7AC" w14:textId="77777777" w:rsidR="001243BD" w:rsidRDefault="001243BD" w:rsidP="001243BD">
      <w:pPr>
        <w:spacing w:after="0" w:line="480" w:lineRule="auto"/>
        <w:rPr>
          <w:sz w:val="24"/>
          <w:szCs w:val="24"/>
        </w:rPr>
      </w:pPr>
    </w:p>
    <w:p w14:paraId="3D27D619" w14:textId="77777777" w:rsidR="001243BD" w:rsidRDefault="001243BD" w:rsidP="001243BD">
      <w:pPr>
        <w:spacing w:after="0" w:line="480" w:lineRule="auto"/>
        <w:jc w:val="center"/>
        <w:rPr>
          <w:b/>
          <w:bCs/>
          <w:sz w:val="28"/>
          <w:szCs w:val="28"/>
        </w:rPr>
      </w:pPr>
    </w:p>
    <w:p w14:paraId="43070E7F" w14:textId="265C474B" w:rsidR="001243BD" w:rsidRDefault="001243BD" w:rsidP="001243BD">
      <w:pPr>
        <w:spacing w:after="0" w:line="480" w:lineRule="auto"/>
        <w:jc w:val="center"/>
        <w:rPr>
          <w:b/>
          <w:bCs/>
          <w:sz w:val="28"/>
          <w:szCs w:val="28"/>
        </w:rPr>
      </w:pPr>
      <w:r>
        <w:rPr>
          <w:b/>
          <w:bCs/>
          <w:sz w:val="28"/>
          <w:szCs w:val="28"/>
        </w:rPr>
        <w:t>TRUMP V. ANDERSON: THE RISE AND FALL OF SECTION THREE OF THE FOURTEENTH AMENDMENT</w:t>
      </w:r>
    </w:p>
    <w:p w14:paraId="3AB2FE69" w14:textId="77777777" w:rsidR="001243BD" w:rsidRDefault="001243BD" w:rsidP="001243BD">
      <w:pPr>
        <w:spacing w:after="0" w:line="480" w:lineRule="auto"/>
        <w:jc w:val="center"/>
        <w:rPr>
          <w:b/>
          <w:bCs/>
          <w:sz w:val="28"/>
          <w:szCs w:val="28"/>
        </w:rPr>
      </w:pPr>
    </w:p>
    <w:p w14:paraId="6E6C3F1E" w14:textId="064FE06A" w:rsidR="001243BD" w:rsidRDefault="00984FCE" w:rsidP="001243BD">
      <w:pPr>
        <w:spacing w:after="0" w:line="480" w:lineRule="auto"/>
        <w:rPr>
          <w:sz w:val="24"/>
          <w:szCs w:val="24"/>
        </w:rPr>
      </w:pPr>
      <w:r>
        <w:rPr>
          <w:b/>
          <w:bCs/>
          <w:sz w:val="24"/>
          <w:szCs w:val="24"/>
        </w:rPr>
        <w:tab/>
      </w:r>
      <w:r w:rsidRPr="00984FCE">
        <w:rPr>
          <w:sz w:val="24"/>
          <w:szCs w:val="24"/>
        </w:rPr>
        <w:t xml:space="preserve">Section Three of the Fourteenth Amendment </w:t>
      </w:r>
      <w:r>
        <w:rPr>
          <w:sz w:val="24"/>
          <w:szCs w:val="24"/>
        </w:rPr>
        <w:t>went on a rollercoaster ride in the third decade of the twenty-first sentence.  That provision declares:</w:t>
      </w:r>
    </w:p>
    <w:p w14:paraId="7BA36EAF" w14:textId="77777777" w:rsidR="00984FCE" w:rsidRDefault="00984FCE" w:rsidP="001243BD">
      <w:pPr>
        <w:spacing w:after="0" w:line="480" w:lineRule="auto"/>
        <w:rPr>
          <w:sz w:val="24"/>
          <w:szCs w:val="24"/>
        </w:rPr>
      </w:pPr>
    </w:p>
    <w:p w14:paraId="157978DF" w14:textId="687F551A" w:rsidR="00984FCE" w:rsidRDefault="00984FCE" w:rsidP="00984FCE">
      <w:pPr>
        <w:spacing w:after="0" w:line="480" w:lineRule="auto"/>
        <w:ind w:left="720" w:right="720"/>
        <w:rPr>
          <w:sz w:val="24"/>
          <w:szCs w:val="24"/>
        </w:rPr>
      </w:pPr>
      <w:r>
        <w:rPr>
          <w:sz w:val="24"/>
          <w:szCs w:val="24"/>
        </w:rPr>
        <w:t>No person shall be a Senator o</w:t>
      </w:r>
      <w:r w:rsidR="0034495A">
        <w:rPr>
          <w:sz w:val="24"/>
          <w:szCs w:val="24"/>
        </w:rPr>
        <w:t>r</w:t>
      </w:r>
      <w:r>
        <w:rPr>
          <w:sz w:val="24"/>
          <w:szCs w:val="24"/>
        </w:rPr>
        <w:t xml:space="preserve">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w:t>
      </w:r>
      <w:r w:rsidR="0034495A">
        <w:rPr>
          <w:sz w:val="24"/>
          <w:szCs w:val="24"/>
        </w:rPr>
        <w:t xml:space="preserve">  But Congress may be a vote of two-thirds of each House, remove such disability.</w:t>
      </w:r>
    </w:p>
    <w:p w14:paraId="26B409CD" w14:textId="77777777" w:rsidR="00984FCE" w:rsidRDefault="00984FCE" w:rsidP="00984FCE">
      <w:pPr>
        <w:spacing w:after="0" w:line="480" w:lineRule="auto"/>
        <w:ind w:left="720" w:right="720"/>
        <w:rPr>
          <w:sz w:val="24"/>
          <w:szCs w:val="24"/>
        </w:rPr>
      </w:pPr>
    </w:p>
    <w:p w14:paraId="1CD17AA6" w14:textId="3074AB91" w:rsidR="00984FCE" w:rsidRDefault="0034495A" w:rsidP="00984FCE">
      <w:pPr>
        <w:spacing w:after="0" w:line="480" w:lineRule="auto"/>
        <w:rPr>
          <w:sz w:val="24"/>
          <w:szCs w:val="24"/>
        </w:rPr>
      </w:pPr>
      <w:r>
        <w:rPr>
          <w:sz w:val="24"/>
          <w:szCs w:val="24"/>
        </w:rPr>
        <w:t xml:space="preserve">That provision from the end of Reconstruction to the end of the Trump presidency </w:t>
      </w:r>
      <w:r w:rsidR="0052053C">
        <w:rPr>
          <w:sz w:val="24"/>
          <w:szCs w:val="24"/>
        </w:rPr>
        <w:t xml:space="preserve">was </w:t>
      </w:r>
      <w:r>
        <w:rPr>
          <w:sz w:val="24"/>
          <w:szCs w:val="24"/>
        </w:rPr>
        <w:t xml:space="preserve">prominently </w:t>
      </w:r>
      <w:r w:rsidR="0052053C">
        <w:rPr>
          <w:sz w:val="24"/>
          <w:szCs w:val="24"/>
        </w:rPr>
        <w:t xml:space="preserve">invoked </w:t>
      </w:r>
      <w:r>
        <w:rPr>
          <w:sz w:val="24"/>
          <w:szCs w:val="24"/>
        </w:rPr>
        <w:t xml:space="preserve">to disqualify a person from federal or state office </w:t>
      </w:r>
      <w:r w:rsidR="0052053C">
        <w:rPr>
          <w:sz w:val="24"/>
          <w:szCs w:val="24"/>
        </w:rPr>
        <w:t xml:space="preserve">only once, by a </w:t>
      </w:r>
      <w:r>
        <w:rPr>
          <w:sz w:val="24"/>
          <w:szCs w:val="24"/>
        </w:rPr>
        <w:t xml:space="preserve">Congress in </w:t>
      </w:r>
      <w:r w:rsidR="0052053C">
        <w:rPr>
          <w:sz w:val="24"/>
          <w:szCs w:val="24"/>
        </w:rPr>
        <w:t>1920</w:t>
      </w:r>
      <w:r>
        <w:rPr>
          <w:sz w:val="24"/>
          <w:szCs w:val="24"/>
        </w:rPr>
        <w:t xml:space="preserve"> that concluded the Socialist Victor Berger, by opposing World War One, gave the aid and comfort to the enemies of the United States that rendered him ineligible to sit in the House of </w:t>
      </w:r>
      <w:r>
        <w:rPr>
          <w:sz w:val="24"/>
          <w:szCs w:val="24"/>
        </w:rPr>
        <w:lastRenderedPageBreak/>
        <w:t>Representatives.</w:t>
      </w:r>
      <w:r w:rsidR="0052053C">
        <w:rPr>
          <w:rStyle w:val="FootnoteReference"/>
          <w:sz w:val="24"/>
          <w:szCs w:val="24"/>
        </w:rPr>
        <w:footnoteReference w:id="1"/>
      </w:r>
      <w:r w:rsidR="0052053C">
        <w:rPr>
          <w:sz w:val="24"/>
          <w:szCs w:val="24"/>
        </w:rPr>
        <w:t xml:space="preserve"> </w:t>
      </w:r>
      <w:bookmarkStart w:id="0" w:name="_Hlk178521644"/>
      <w:r w:rsidR="0052053C">
        <w:rPr>
          <w:sz w:val="24"/>
          <w:szCs w:val="24"/>
        </w:rPr>
        <w:t xml:space="preserve">  </w:t>
      </w:r>
      <w:bookmarkEnd w:id="0"/>
      <w:r w:rsidR="00984FCE">
        <w:rPr>
          <w:sz w:val="24"/>
          <w:szCs w:val="24"/>
        </w:rPr>
        <w:t xml:space="preserve">On or about January 1, 2021, I finished a chapter for a book in the </w:t>
      </w:r>
      <w:r w:rsidR="00984FCE" w:rsidRPr="00984FCE">
        <w:rPr>
          <w:i/>
          <w:iCs/>
          <w:sz w:val="24"/>
          <w:szCs w:val="24"/>
        </w:rPr>
        <w:t>Forgotten Fourteenth Amendment</w:t>
      </w:r>
      <w:r>
        <w:rPr>
          <w:rStyle w:val="FootnoteReference"/>
          <w:i/>
          <w:iCs/>
          <w:sz w:val="24"/>
          <w:szCs w:val="24"/>
        </w:rPr>
        <w:footnoteReference w:id="2"/>
      </w:r>
      <w:r w:rsidR="00984FCE">
        <w:rPr>
          <w:sz w:val="24"/>
          <w:szCs w:val="24"/>
        </w:rPr>
        <w:t xml:space="preserve"> series the first sentence of which was “Section Three is the most forgotten provision of the forgotten Fourteenth Amendment.”  The constitutional rules for disqualification were obscure even when compared to Section Two of the Fourteenth Amendment’s revision of the apportionment</w:t>
      </w:r>
      <w:r w:rsidR="0052053C">
        <w:rPr>
          <w:sz w:val="24"/>
          <w:szCs w:val="24"/>
        </w:rPr>
        <w:t>, which has attracted some attention in contemporary voting rights litigation</w:t>
      </w:r>
      <w:r>
        <w:rPr>
          <w:rStyle w:val="FootnoteReference"/>
          <w:sz w:val="24"/>
          <w:szCs w:val="24"/>
        </w:rPr>
        <w:footnoteReference w:id="3"/>
      </w:r>
      <w:r w:rsidR="00984FCE">
        <w:rPr>
          <w:sz w:val="24"/>
          <w:szCs w:val="24"/>
        </w:rPr>
        <w:t xml:space="preserve"> or Section Four’s structures on debt</w:t>
      </w:r>
      <w:r w:rsidR="0052053C">
        <w:rPr>
          <w:sz w:val="24"/>
          <w:szCs w:val="24"/>
        </w:rPr>
        <w:t>, which play a role whenever Congress threatens not to raise the ceiling for the federal debt.</w:t>
      </w:r>
      <w:r>
        <w:rPr>
          <w:rStyle w:val="FootnoteReference"/>
          <w:sz w:val="24"/>
          <w:szCs w:val="24"/>
        </w:rPr>
        <w:footnoteReference w:id="4"/>
      </w:r>
      <w:r w:rsidR="0052053C">
        <w:rPr>
          <w:sz w:val="24"/>
          <w:szCs w:val="24"/>
        </w:rPr>
        <w:t xml:space="preserve">  </w:t>
      </w:r>
      <w:r w:rsidR="00984FCE">
        <w:rPr>
          <w:sz w:val="24"/>
          <w:szCs w:val="24"/>
        </w:rPr>
        <w:t xml:space="preserve">The next week, </w:t>
      </w:r>
      <w:r w:rsidR="0052053C">
        <w:rPr>
          <w:sz w:val="24"/>
          <w:szCs w:val="24"/>
        </w:rPr>
        <w:t xml:space="preserve">on January 6, 2021, </w:t>
      </w:r>
      <w:r w:rsidR="00984FCE">
        <w:rPr>
          <w:sz w:val="24"/>
          <w:szCs w:val="24"/>
        </w:rPr>
        <w:t>an insurrection occurred on congressional grounds.  Several past and present government officials, most notably then President Donald Trump, alleged</w:t>
      </w:r>
      <w:r>
        <w:rPr>
          <w:sz w:val="24"/>
          <w:szCs w:val="24"/>
        </w:rPr>
        <w:t>ly</w:t>
      </w:r>
      <w:r w:rsidR="00984FCE">
        <w:rPr>
          <w:sz w:val="24"/>
          <w:szCs w:val="24"/>
        </w:rPr>
        <w:t xml:space="preserve"> participated in some form.  Section Three became hot stuff.  As one of t</w:t>
      </w:r>
      <w:r w:rsidR="0052053C">
        <w:rPr>
          <w:sz w:val="24"/>
          <w:szCs w:val="24"/>
        </w:rPr>
        <w:t>he handful of</w:t>
      </w:r>
      <w:r w:rsidR="00984FCE">
        <w:rPr>
          <w:sz w:val="24"/>
          <w:szCs w:val="24"/>
        </w:rPr>
        <w:t xml:space="preserve"> people who at the time knew anything about Section Three,</w:t>
      </w:r>
      <w:r w:rsidR="00922FA5">
        <w:rPr>
          <w:rStyle w:val="FootnoteReference"/>
          <w:sz w:val="24"/>
          <w:szCs w:val="24"/>
        </w:rPr>
        <w:footnoteReference w:id="5"/>
      </w:r>
      <w:r w:rsidR="00922FA5">
        <w:rPr>
          <w:sz w:val="24"/>
          <w:szCs w:val="24"/>
        </w:rPr>
        <w:t xml:space="preserve"> I made numerous media appearances (for me), wrote numerous short pieces that were read by people not entitled to kiss me,</w:t>
      </w:r>
      <w:r w:rsidR="0052053C">
        <w:rPr>
          <w:rStyle w:val="FootnoteReference"/>
          <w:sz w:val="24"/>
          <w:szCs w:val="24"/>
        </w:rPr>
        <w:footnoteReference w:id="6"/>
      </w:r>
      <w:r w:rsidR="00922FA5">
        <w:rPr>
          <w:sz w:val="24"/>
          <w:szCs w:val="24"/>
        </w:rPr>
        <w:t xml:space="preserve"> and participated in the campaign to disqualify Donald Trump.</w:t>
      </w:r>
      <w:r w:rsidR="00922FA5">
        <w:rPr>
          <w:rStyle w:val="FootnoteReference"/>
          <w:sz w:val="24"/>
          <w:szCs w:val="24"/>
        </w:rPr>
        <w:footnoteReference w:id="7"/>
      </w:r>
      <w:r w:rsidR="00922FA5">
        <w:rPr>
          <w:sz w:val="24"/>
          <w:szCs w:val="24"/>
        </w:rPr>
        <w:t xml:space="preserve">  Three and a half years into my academic celebrity (which does not resemble actual celebrity in any way), the Supreme Court in </w:t>
      </w:r>
      <w:r w:rsidR="00922FA5">
        <w:rPr>
          <w:i/>
          <w:iCs/>
          <w:sz w:val="24"/>
          <w:szCs w:val="24"/>
        </w:rPr>
        <w:t>Trump v. Anderson</w:t>
      </w:r>
      <w:r w:rsidR="0052053C">
        <w:rPr>
          <w:rStyle w:val="FootnoteReference"/>
          <w:i/>
          <w:iCs/>
          <w:sz w:val="24"/>
          <w:szCs w:val="24"/>
        </w:rPr>
        <w:footnoteReference w:id="8"/>
      </w:r>
      <w:r w:rsidR="00922FA5">
        <w:rPr>
          <w:i/>
          <w:iCs/>
          <w:sz w:val="24"/>
          <w:szCs w:val="24"/>
        </w:rPr>
        <w:t xml:space="preserve"> </w:t>
      </w:r>
      <w:r w:rsidR="00922FA5">
        <w:rPr>
          <w:sz w:val="24"/>
          <w:szCs w:val="24"/>
        </w:rPr>
        <w:t xml:space="preserve">ruled that state </w:t>
      </w:r>
      <w:r w:rsidR="00922FA5">
        <w:rPr>
          <w:sz w:val="24"/>
          <w:szCs w:val="24"/>
        </w:rPr>
        <w:lastRenderedPageBreak/>
        <w:t xml:space="preserve">courts could not disqualify candidates for the presidency, that candidates for the president could be disqualified only in pursuance of congressional legislation approved by federal courts.  Within two weeks, the media requests and opportunities had dried up.  </w:t>
      </w:r>
      <w:r w:rsidR="0052053C">
        <w:rPr>
          <w:sz w:val="24"/>
          <w:szCs w:val="24"/>
        </w:rPr>
        <w:t xml:space="preserve">Section Three reclaimed that provision’s former obscurity, unlikely to be invoked again once the memory of January 6 fades.  </w:t>
      </w:r>
      <w:r w:rsidR="00922FA5">
        <w:rPr>
          <w:sz w:val="24"/>
          <w:szCs w:val="24"/>
        </w:rPr>
        <w:t xml:space="preserve">I went back to my humdrum academic existence writing university press books that friends claim to </w:t>
      </w:r>
      <w:r w:rsidR="0052053C">
        <w:rPr>
          <w:sz w:val="24"/>
          <w:szCs w:val="24"/>
        </w:rPr>
        <w:t xml:space="preserve">have on their bookshelf (which means they have not read the thing) </w:t>
      </w:r>
      <w:r w:rsidR="00922FA5">
        <w:rPr>
          <w:sz w:val="24"/>
          <w:szCs w:val="24"/>
        </w:rPr>
        <w:t xml:space="preserve">and </w:t>
      </w:r>
      <w:r w:rsidR="0052053C">
        <w:rPr>
          <w:sz w:val="24"/>
          <w:szCs w:val="24"/>
        </w:rPr>
        <w:t xml:space="preserve">finishing overdue </w:t>
      </w:r>
      <w:r w:rsidR="00922FA5">
        <w:rPr>
          <w:sz w:val="24"/>
          <w:szCs w:val="24"/>
        </w:rPr>
        <w:t>essays for anthologies edited by Howard Schweber.</w:t>
      </w:r>
    </w:p>
    <w:p w14:paraId="2154F641" w14:textId="0D6215EC" w:rsidR="00AD26E2" w:rsidRDefault="00AD26E2" w:rsidP="002A1479">
      <w:pPr>
        <w:spacing w:after="0" w:line="480" w:lineRule="auto"/>
        <w:rPr>
          <w:sz w:val="24"/>
          <w:szCs w:val="24"/>
        </w:rPr>
      </w:pPr>
      <w:r>
        <w:rPr>
          <w:sz w:val="24"/>
          <w:szCs w:val="24"/>
        </w:rPr>
        <w:tab/>
        <w:t>This essay, unlike any published in this or previous volumes</w:t>
      </w:r>
      <w:r w:rsidR="00CB439D">
        <w:rPr>
          <w:sz w:val="24"/>
          <w:szCs w:val="24"/>
        </w:rPr>
        <w:t xml:space="preserve"> in this series</w:t>
      </w:r>
      <w:r>
        <w:rPr>
          <w:sz w:val="24"/>
          <w:szCs w:val="24"/>
        </w:rPr>
        <w:t>, is written from the perspective of a (minor) participant in</w:t>
      </w:r>
      <w:r w:rsidR="00CB439D">
        <w:rPr>
          <w:sz w:val="24"/>
          <w:szCs w:val="24"/>
        </w:rPr>
        <w:t xml:space="preserve"> the constitutional litigation that is the subject of this chapter.  That perspective has the advantage of expertise gained by several years researching Section 3 of the Fourteenth Amendment, as well as a closer view of the litigation than is typical for an academic.  The disadvantage is possible bias</w:t>
      </w:r>
      <w:r w:rsidR="004A41B3">
        <w:rPr>
          <w:sz w:val="24"/>
          <w:szCs w:val="24"/>
        </w:rPr>
        <w:t xml:space="preserve">.  </w:t>
      </w:r>
      <w:r w:rsidR="00CB439D">
        <w:rPr>
          <w:sz w:val="24"/>
          <w:szCs w:val="24"/>
        </w:rPr>
        <w:t>As a partial counter, readers are advised to read the actual opinion and the sources in the footnotes that reach different (and wrong!) conclusions on issues of presidential disqualification.</w:t>
      </w:r>
      <w:r w:rsidR="00CB439D">
        <w:rPr>
          <w:rStyle w:val="FootnoteReference"/>
          <w:sz w:val="24"/>
          <w:szCs w:val="24"/>
        </w:rPr>
        <w:footnoteReference w:id="9"/>
      </w:r>
    </w:p>
    <w:p w14:paraId="2B281851" w14:textId="7ABBB2C6" w:rsidR="00E95F37" w:rsidRDefault="00E95F37" w:rsidP="00AD26E2">
      <w:pPr>
        <w:spacing w:after="0" w:line="480" w:lineRule="auto"/>
        <w:ind w:firstLine="720"/>
        <w:rPr>
          <w:sz w:val="24"/>
          <w:szCs w:val="24"/>
        </w:rPr>
      </w:pPr>
      <w:r>
        <w:rPr>
          <w:sz w:val="24"/>
          <w:szCs w:val="24"/>
        </w:rPr>
        <w:t xml:space="preserve">The substantive case for disqualifying Donald Trump </w:t>
      </w:r>
      <w:r w:rsidR="00373DB1">
        <w:rPr>
          <w:sz w:val="24"/>
          <w:szCs w:val="24"/>
        </w:rPr>
        <w:t>i</w:t>
      </w:r>
      <w:r>
        <w:rPr>
          <w:sz w:val="24"/>
          <w:szCs w:val="24"/>
        </w:rPr>
        <w:t>s simple.</w:t>
      </w:r>
      <w:r w:rsidR="00373DB1">
        <w:rPr>
          <w:rStyle w:val="FootnoteReference"/>
          <w:sz w:val="24"/>
          <w:szCs w:val="24"/>
        </w:rPr>
        <w:footnoteReference w:id="10"/>
      </w:r>
      <w:r>
        <w:rPr>
          <w:sz w:val="24"/>
          <w:szCs w:val="24"/>
        </w:rPr>
        <w:t xml:space="preserve">  Common and constitutional law when Section Three of the Fourteenth Amendment was ratified treated an insurrection as an assemblage of persons resisting any federal law by force or intimidation for a public purpose.  The mob on January 6, 2021</w:t>
      </w:r>
      <w:r w:rsidR="004A41B3">
        <w:rPr>
          <w:sz w:val="24"/>
          <w:szCs w:val="24"/>
        </w:rPr>
        <w:t>,</w:t>
      </w:r>
      <w:r>
        <w:rPr>
          <w:sz w:val="24"/>
          <w:szCs w:val="24"/>
        </w:rPr>
        <w:t xml:space="preserve"> was an assemblage (more than one person), th</w:t>
      </w:r>
      <w:r w:rsidR="004A41B3">
        <w:rPr>
          <w:sz w:val="24"/>
          <w:szCs w:val="24"/>
        </w:rPr>
        <w:t>at mob</w:t>
      </w:r>
      <w:r>
        <w:rPr>
          <w:sz w:val="24"/>
          <w:szCs w:val="24"/>
        </w:rPr>
        <w:t xml:space="preserve"> w</w:t>
      </w:r>
      <w:r w:rsidR="004A41B3">
        <w:rPr>
          <w:sz w:val="24"/>
          <w:szCs w:val="24"/>
        </w:rPr>
        <w:t>as</w:t>
      </w:r>
      <w:r>
        <w:rPr>
          <w:sz w:val="24"/>
          <w:szCs w:val="24"/>
        </w:rPr>
        <w:t xml:space="preserve"> resisting the federal laws governing the peaceful transition of federal power, the attacks on police officers, as well as nooses with the Vice President’s name, clearly demonstrate force </w:t>
      </w:r>
      <w:r>
        <w:rPr>
          <w:sz w:val="24"/>
          <w:szCs w:val="24"/>
        </w:rPr>
        <w:lastRenderedPageBreak/>
        <w:t xml:space="preserve">and intimidation, and the purpose of the resistance was to achieve the public goal of maintaining Donald Trump in power.  Common and constitutional law when Section Three of the Fourteenth Amendment was ratified regarded any person who knowingly participated in any facet of an insurrection as engaged in </w:t>
      </w:r>
      <w:r w:rsidR="00373DB1">
        <w:rPr>
          <w:sz w:val="24"/>
          <w:szCs w:val="24"/>
        </w:rPr>
        <w:t>that</w:t>
      </w:r>
      <w:r>
        <w:rPr>
          <w:sz w:val="24"/>
          <w:szCs w:val="24"/>
        </w:rPr>
        <w:t xml:space="preserve"> insurrection.  Donald Trump incited his supporters to violently attack Congress and made no effort to curb the violence once started.  No one has pointed to a political or legal change that took place between the time Section Three was ratified and the January 6 insurrection took place that might justify interpreting Section Three as not covering the attack on the Capitol.  Every court that reached the merits concluded that </w:t>
      </w:r>
      <w:r w:rsidR="009C3AC5">
        <w:rPr>
          <w:sz w:val="24"/>
          <w:szCs w:val="24"/>
        </w:rPr>
        <w:t>the attack on the Capitol was an insurrection.</w:t>
      </w:r>
      <w:r w:rsidR="009C3AC5">
        <w:rPr>
          <w:rStyle w:val="FootnoteReference"/>
          <w:sz w:val="24"/>
          <w:szCs w:val="24"/>
        </w:rPr>
        <w:footnoteReference w:id="11"/>
      </w:r>
      <w:r w:rsidR="009C3AC5">
        <w:rPr>
          <w:sz w:val="24"/>
          <w:szCs w:val="24"/>
        </w:rPr>
        <w:t xml:space="preserve">  Every state court that reached the merits concluded that Donald Trump participated in that insurrection.</w:t>
      </w:r>
      <w:r w:rsidR="009C3AC5">
        <w:rPr>
          <w:rStyle w:val="FootnoteReference"/>
          <w:sz w:val="24"/>
          <w:szCs w:val="24"/>
        </w:rPr>
        <w:footnoteReference w:id="12"/>
      </w:r>
      <w:r w:rsidR="004A41B3">
        <w:rPr>
          <w:sz w:val="24"/>
          <w:szCs w:val="24"/>
        </w:rPr>
        <w:t xml:space="preserve">  Or so we maintained.</w:t>
      </w:r>
    </w:p>
    <w:p w14:paraId="254473FC" w14:textId="47F77E89" w:rsidR="009C3AC5" w:rsidRDefault="009C3AC5" w:rsidP="00984FCE">
      <w:pPr>
        <w:spacing w:after="0" w:line="480" w:lineRule="auto"/>
        <w:rPr>
          <w:sz w:val="24"/>
          <w:szCs w:val="24"/>
        </w:rPr>
      </w:pPr>
      <w:r>
        <w:rPr>
          <w:sz w:val="24"/>
          <w:szCs w:val="24"/>
        </w:rPr>
        <w:tab/>
        <w:t xml:space="preserve">No good procedural reasons existed for failing to disqualify </w:t>
      </w:r>
      <w:r w:rsidR="004A41B3">
        <w:rPr>
          <w:sz w:val="24"/>
          <w:szCs w:val="24"/>
        </w:rPr>
        <w:t xml:space="preserve">what the concurrence in </w:t>
      </w:r>
      <w:r w:rsidR="004A41B3">
        <w:rPr>
          <w:i/>
          <w:iCs/>
          <w:sz w:val="24"/>
          <w:szCs w:val="24"/>
        </w:rPr>
        <w:t xml:space="preserve">Trump v. Anderson </w:t>
      </w:r>
      <w:r w:rsidR="004A41B3">
        <w:rPr>
          <w:sz w:val="24"/>
          <w:szCs w:val="24"/>
        </w:rPr>
        <w:t xml:space="preserve">referred to as </w:t>
      </w:r>
      <w:r>
        <w:rPr>
          <w:sz w:val="24"/>
          <w:szCs w:val="24"/>
        </w:rPr>
        <w:t xml:space="preserve">an </w:t>
      </w:r>
      <w:r w:rsidR="004A41B3">
        <w:rPr>
          <w:sz w:val="24"/>
          <w:szCs w:val="24"/>
        </w:rPr>
        <w:t>“</w:t>
      </w:r>
      <w:r>
        <w:rPr>
          <w:sz w:val="24"/>
          <w:szCs w:val="24"/>
        </w:rPr>
        <w:t>oath</w:t>
      </w:r>
      <w:r w:rsidR="004A41B3">
        <w:rPr>
          <w:sz w:val="24"/>
          <w:szCs w:val="24"/>
        </w:rPr>
        <w:t xml:space="preserve"> </w:t>
      </w:r>
      <w:r>
        <w:rPr>
          <w:sz w:val="24"/>
          <w:szCs w:val="24"/>
        </w:rPr>
        <w:t>breaking insurrectionist.</w:t>
      </w:r>
      <w:r w:rsidR="004A41B3">
        <w:rPr>
          <w:sz w:val="24"/>
          <w:szCs w:val="24"/>
        </w:rPr>
        <w:t>”</w:t>
      </w:r>
      <w:r w:rsidR="004A41B3">
        <w:rPr>
          <w:rStyle w:val="FootnoteReference"/>
          <w:sz w:val="24"/>
          <w:szCs w:val="24"/>
        </w:rPr>
        <w:footnoteReference w:id="13"/>
      </w:r>
      <w:r>
        <w:rPr>
          <w:sz w:val="24"/>
          <w:szCs w:val="24"/>
        </w:rPr>
        <w:t xml:space="preserve">  The historical evidence clearly indicated that </w:t>
      </w:r>
      <w:r w:rsidR="00253BE8">
        <w:rPr>
          <w:sz w:val="24"/>
          <w:szCs w:val="24"/>
        </w:rPr>
        <w:t>Section Three was intended to cover all insurrections, not merely the insurrections involved in what some drafts of Section Three declared to be “the late rebellion.”  The members of the Thirty-Ninth Congress who drafted Section Three spoke of the President as an office</w:t>
      </w:r>
      <w:r w:rsidR="004A41B3">
        <w:rPr>
          <w:sz w:val="24"/>
          <w:szCs w:val="24"/>
        </w:rPr>
        <w:t>r</w:t>
      </w:r>
      <w:r w:rsidR="00253BE8">
        <w:rPr>
          <w:sz w:val="24"/>
          <w:szCs w:val="24"/>
        </w:rPr>
        <w:t xml:space="preserve"> of the United States and an officer under the United States and the presidency as an office of the United States and an office </w:t>
      </w:r>
      <w:r w:rsidR="004A41B3">
        <w:rPr>
          <w:sz w:val="24"/>
          <w:szCs w:val="24"/>
        </w:rPr>
        <w:t>under</w:t>
      </w:r>
      <w:r w:rsidR="00253BE8">
        <w:rPr>
          <w:sz w:val="24"/>
          <w:szCs w:val="24"/>
        </w:rPr>
        <w:t xml:space="preserve"> the United States.  Presidents and members of Congress routinely spoke of the presidential oath of office as an oath to support the Constitution.  </w:t>
      </w:r>
      <w:r w:rsidR="00253BE8">
        <w:rPr>
          <w:sz w:val="24"/>
          <w:szCs w:val="24"/>
        </w:rPr>
        <w:lastRenderedPageBreak/>
        <w:t xml:space="preserve">Other provisions of the Reconstruction Amendments </w:t>
      </w:r>
      <w:r w:rsidR="004A41B3">
        <w:rPr>
          <w:sz w:val="24"/>
          <w:szCs w:val="24"/>
        </w:rPr>
        <w:t xml:space="preserve">are </w:t>
      </w:r>
      <w:r w:rsidR="00253BE8">
        <w:rPr>
          <w:sz w:val="24"/>
          <w:szCs w:val="24"/>
        </w:rPr>
        <w:t>self-enforcing</w:t>
      </w:r>
      <w:r w:rsidR="004A41B3">
        <w:rPr>
          <w:sz w:val="24"/>
          <w:szCs w:val="24"/>
        </w:rPr>
        <w:t>, they may be enforced by federal and state courts in the absence of federal legislation</w:t>
      </w:r>
      <w:r w:rsidR="00253BE8">
        <w:rPr>
          <w:sz w:val="24"/>
          <w:szCs w:val="24"/>
        </w:rPr>
        <w:t xml:space="preserve">.  If </w:t>
      </w:r>
      <w:r w:rsidR="004A41B3">
        <w:rPr>
          <w:sz w:val="24"/>
          <w:szCs w:val="24"/>
        </w:rPr>
        <w:t xml:space="preserve">federal </w:t>
      </w:r>
      <w:r w:rsidR="00253BE8">
        <w:rPr>
          <w:sz w:val="24"/>
          <w:szCs w:val="24"/>
        </w:rPr>
        <w:t xml:space="preserve">legislation </w:t>
      </w:r>
      <w:r w:rsidR="004A41B3">
        <w:rPr>
          <w:sz w:val="24"/>
          <w:szCs w:val="24"/>
        </w:rPr>
        <w:t>i</w:t>
      </w:r>
      <w:r w:rsidR="00253BE8">
        <w:rPr>
          <w:sz w:val="24"/>
          <w:szCs w:val="24"/>
        </w:rPr>
        <w:t xml:space="preserve">s necessary to enforce the Thirteenth Amendment and Section 1 of the Fourteenth Amendment, then the constitutional ban on slavery did not legally end human bondage and </w:t>
      </w:r>
      <w:r w:rsidR="00253BE8">
        <w:rPr>
          <w:i/>
          <w:iCs/>
          <w:sz w:val="24"/>
          <w:szCs w:val="24"/>
        </w:rPr>
        <w:t xml:space="preserve">Brown v. Board of Education </w:t>
      </w:r>
      <w:r w:rsidR="00253BE8">
        <w:rPr>
          <w:sz w:val="24"/>
          <w:szCs w:val="24"/>
        </w:rPr>
        <w:t>was wrongly decided.</w:t>
      </w:r>
      <w:r w:rsidR="004A41B3">
        <w:rPr>
          <w:sz w:val="24"/>
          <w:szCs w:val="24"/>
        </w:rPr>
        <w:t xml:space="preserve"> No historical or textual reason existed to treat differently Section 3 of the Fourteenth Amendment.  Or so we maintained.</w:t>
      </w:r>
    </w:p>
    <w:p w14:paraId="4187CE15" w14:textId="2DDBB100" w:rsidR="00253BE8" w:rsidRDefault="00253BE8" w:rsidP="00984FCE">
      <w:pPr>
        <w:spacing w:after="0" w:line="480" w:lineRule="auto"/>
        <w:rPr>
          <w:sz w:val="24"/>
          <w:szCs w:val="24"/>
        </w:rPr>
      </w:pPr>
      <w:r>
        <w:rPr>
          <w:sz w:val="24"/>
          <w:szCs w:val="24"/>
        </w:rPr>
        <w:tab/>
        <w:t>Litigation to enforce Section Three initially enjoyed some success when state courts reached the merits of the disqualification issue</w:t>
      </w:r>
      <w:r w:rsidR="004A41B3">
        <w:rPr>
          <w:sz w:val="24"/>
          <w:szCs w:val="24"/>
        </w:rPr>
        <w:t>—several state courts claimed that state law prohibited state courts from disqualifying candidates for the presidential office during the party primary season</w:t>
      </w:r>
      <w:r>
        <w:rPr>
          <w:sz w:val="24"/>
          <w:szCs w:val="24"/>
        </w:rPr>
        <w:t>.</w:t>
      </w:r>
      <w:r w:rsidR="004A41B3">
        <w:rPr>
          <w:rStyle w:val="FootnoteReference"/>
          <w:sz w:val="24"/>
          <w:szCs w:val="24"/>
        </w:rPr>
        <w:footnoteReference w:id="14"/>
      </w:r>
      <w:r>
        <w:rPr>
          <w:sz w:val="24"/>
          <w:szCs w:val="24"/>
        </w:rPr>
        <w:t xml:space="preserve"> </w:t>
      </w:r>
      <w:r w:rsidR="004A41B3">
        <w:rPr>
          <w:sz w:val="24"/>
          <w:szCs w:val="24"/>
        </w:rPr>
        <w:t xml:space="preserve"> </w:t>
      </w:r>
      <w:r>
        <w:rPr>
          <w:sz w:val="24"/>
          <w:szCs w:val="24"/>
        </w:rPr>
        <w:t xml:space="preserve"> A local court in New Mexico disqualified a county commissioner who participated in the January 6 insurrection.</w:t>
      </w:r>
      <w:r w:rsidR="004A41B3">
        <w:rPr>
          <w:rStyle w:val="FootnoteReference"/>
          <w:sz w:val="24"/>
          <w:szCs w:val="24"/>
        </w:rPr>
        <w:footnoteReference w:id="15"/>
      </w:r>
      <w:r>
        <w:rPr>
          <w:sz w:val="24"/>
          <w:szCs w:val="24"/>
        </w:rPr>
        <w:t xml:space="preserve">  The Supreme Court of Colorado endorsed all elements of the substantive and procedural case against Trump w</w:t>
      </w:r>
      <w:r w:rsidR="004A41B3">
        <w:rPr>
          <w:sz w:val="24"/>
          <w:szCs w:val="24"/>
        </w:rPr>
        <w:t>hen</w:t>
      </w:r>
      <w:r>
        <w:rPr>
          <w:sz w:val="24"/>
          <w:szCs w:val="24"/>
        </w:rPr>
        <w:t xml:space="preserve"> disqualifying him from the </w:t>
      </w:r>
      <w:r w:rsidR="004A41B3">
        <w:rPr>
          <w:sz w:val="24"/>
          <w:szCs w:val="24"/>
        </w:rPr>
        <w:t xml:space="preserve">state ballot in the </w:t>
      </w:r>
      <w:r w:rsidR="00E504A0">
        <w:rPr>
          <w:sz w:val="24"/>
          <w:szCs w:val="24"/>
        </w:rPr>
        <w:t>2014 national election.</w:t>
      </w:r>
      <w:r w:rsidR="00A53425">
        <w:rPr>
          <w:rStyle w:val="FootnoteReference"/>
          <w:sz w:val="24"/>
          <w:szCs w:val="24"/>
        </w:rPr>
        <w:footnoteReference w:id="16"/>
      </w:r>
      <w:r w:rsidR="00E504A0">
        <w:rPr>
          <w:sz w:val="24"/>
          <w:szCs w:val="24"/>
        </w:rPr>
        <w:t xml:space="preserve">  Several weeks later the Secretary of State in Maine reached the same conclusion,</w:t>
      </w:r>
      <w:r w:rsidR="004A41B3">
        <w:rPr>
          <w:rStyle w:val="FootnoteReference"/>
          <w:sz w:val="24"/>
          <w:szCs w:val="24"/>
        </w:rPr>
        <w:footnoteReference w:id="17"/>
      </w:r>
      <w:r w:rsidR="00E504A0">
        <w:rPr>
          <w:sz w:val="24"/>
          <w:szCs w:val="24"/>
        </w:rPr>
        <w:t xml:space="preserve"> as did, a few months later, a local court in Illinois.</w:t>
      </w:r>
      <w:r w:rsidR="004A41B3">
        <w:rPr>
          <w:rStyle w:val="FootnoteReference"/>
          <w:sz w:val="24"/>
          <w:szCs w:val="24"/>
        </w:rPr>
        <w:footnoteReference w:id="18"/>
      </w:r>
    </w:p>
    <w:p w14:paraId="7EE726BF" w14:textId="41D922F8" w:rsidR="00307FE3" w:rsidRDefault="004A41B3" w:rsidP="00984FCE">
      <w:pPr>
        <w:spacing w:after="0" w:line="480" w:lineRule="auto"/>
        <w:rPr>
          <w:sz w:val="24"/>
          <w:szCs w:val="24"/>
        </w:rPr>
      </w:pPr>
      <w:r>
        <w:rPr>
          <w:sz w:val="24"/>
          <w:szCs w:val="24"/>
        </w:rPr>
        <w:tab/>
        <w:t xml:space="preserve">The Supreme Court for better or worse reached a different conclusion.  </w:t>
      </w:r>
      <w:r w:rsidR="00307FE3">
        <w:rPr>
          <w:sz w:val="24"/>
          <w:szCs w:val="24"/>
        </w:rPr>
        <w:t xml:space="preserve">From the beginning of deliberations, </w:t>
      </w:r>
      <w:r w:rsidR="00307FE3">
        <w:rPr>
          <w:i/>
          <w:iCs/>
          <w:sz w:val="24"/>
          <w:szCs w:val="24"/>
        </w:rPr>
        <w:t xml:space="preserve">The New York Times </w:t>
      </w:r>
      <w:r w:rsidR="00307FE3">
        <w:rPr>
          <w:sz w:val="24"/>
          <w:szCs w:val="24"/>
        </w:rPr>
        <w:t>reported, Chief Justice John Roberts was determined to reverse decisions keeping Trump off state ballots.</w:t>
      </w:r>
      <w:r w:rsidR="00C75EAC">
        <w:rPr>
          <w:rStyle w:val="FootnoteReference"/>
          <w:sz w:val="24"/>
          <w:szCs w:val="24"/>
        </w:rPr>
        <w:footnoteReference w:id="19"/>
      </w:r>
      <w:r w:rsidR="00307FE3">
        <w:rPr>
          <w:sz w:val="24"/>
          <w:szCs w:val="24"/>
        </w:rPr>
        <w:t xml:space="preserve">  That Roberts</w:t>
      </w:r>
      <w:r w:rsidR="00C75EAC">
        <w:rPr>
          <w:sz w:val="24"/>
          <w:szCs w:val="24"/>
        </w:rPr>
        <w:t xml:space="preserve"> and the other justices quickly </w:t>
      </w:r>
      <w:r w:rsidR="00307FE3">
        <w:rPr>
          <w:sz w:val="24"/>
          <w:szCs w:val="24"/>
        </w:rPr>
        <w:t>reached this conclusion</w:t>
      </w:r>
      <w:r w:rsidR="00C75EAC">
        <w:rPr>
          <w:sz w:val="24"/>
          <w:szCs w:val="24"/>
        </w:rPr>
        <w:t xml:space="preserve">, </w:t>
      </w:r>
      <w:r w:rsidR="00307FE3">
        <w:rPr>
          <w:sz w:val="24"/>
          <w:szCs w:val="24"/>
        </w:rPr>
        <w:t xml:space="preserve">while perhaps injudicious, would not be surprising in a case involving the commerce clause, free speech, or other matter that is frequently litigated </w:t>
      </w:r>
      <w:r w:rsidR="00307FE3">
        <w:rPr>
          <w:sz w:val="24"/>
          <w:szCs w:val="24"/>
        </w:rPr>
        <w:lastRenderedPageBreak/>
        <w:t xml:space="preserve">before the Supreme Court.  What </w:t>
      </w:r>
      <w:r w:rsidR="00C75EAC">
        <w:rPr>
          <w:sz w:val="24"/>
          <w:szCs w:val="24"/>
        </w:rPr>
        <w:t xml:space="preserve">the brief deliberations on </w:t>
      </w:r>
      <w:r w:rsidR="00C75EAC">
        <w:rPr>
          <w:i/>
          <w:iCs/>
          <w:sz w:val="24"/>
          <w:szCs w:val="24"/>
        </w:rPr>
        <w:t xml:space="preserve">Trump v. Anderson </w:t>
      </w:r>
      <w:r w:rsidR="00307FE3">
        <w:rPr>
          <w:sz w:val="24"/>
          <w:szCs w:val="24"/>
        </w:rPr>
        <w:t xml:space="preserve">particularly remarkable </w:t>
      </w:r>
      <w:r w:rsidR="00C75EAC">
        <w:rPr>
          <w:sz w:val="24"/>
          <w:szCs w:val="24"/>
        </w:rPr>
        <w:t>i</w:t>
      </w:r>
      <w:r w:rsidR="00307FE3">
        <w:rPr>
          <w:sz w:val="24"/>
          <w:szCs w:val="24"/>
        </w:rPr>
        <w:t xml:space="preserve">s the insistence that states could not disqualify candidates for the presidency at a time when whether any member of the court had any familiarity with Section Three of the Fourteenth Amendment.  </w:t>
      </w:r>
    </w:p>
    <w:p w14:paraId="00E4012E" w14:textId="7DAF0F72" w:rsidR="00D95DD1" w:rsidRDefault="00C75EAC" w:rsidP="00984FCE">
      <w:pPr>
        <w:spacing w:after="0" w:line="480" w:lineRule="auto"/>
        <w:rPr>
          <w:rFonts w:eastAsia="Times New Roman" w:cs="Times New Roman"/>
          <w:sz w:val="24"/>
          <w:szCs w:val="24"/>
        </w:rPr>
      </w:pPr>
      <w:r>
        <w:rPr>
          <w:sz w:val="24"/>
          <w:szCs w:val="24"/>
        </w:rPr>
        <w:tab/>
        <w:t xml:space="preserve">Having determined or predetermined states should not disqualify presidential candidates who participated in the January 6, 2024 or, for that matter, ordered the assassination of every Congressperson, </w:t>
      </w:r>
      <w:r w:rsidRPr="00C75EAC">
        <w:rPr>
          <w:sz w:val="24"/>
          <w:szCs w:val="24"/>
        </w:rPr>
        <w:t>the Supreme Court issued a brief unsigned opinion that appears to have been written by the Chief Justice.</w:t>
      </w:r>
      <w:r w:rsidRPr="00C75EAC">
        <w:rPr>
          <w:rStyle w:val="FootnoteReference"/>
          <w:sz w:val="24"/>
          <w:szCs w:val="24"/>
        </w:rPr>
        <w:footnoteReference w:id="20"/>
      </w:r>
      <w:r w:rsidRPr="00C75EAC">
        <w:rPr>
          <w:sz w:val="24"/>
          <w:szCs w:val="24"/>
        </w:rPr>
        <w:t xml:space="preserve"> </w:t>
      </w:r>
      <w:r w:rsidRPr="00C75EAC">
        <w:rPr>
          <w:rFonts w:eastAsia="Times New Roman" w:cs="Times New Roman"/>
          <w:i/>
          <w:sz w:val="24"/>
          <w:szCs w:val="24"/>
        </w:rPr>
        <w:t xml:space="preserve">Trump v. Amderson </w:t>
      </w:r>
      <w:r>
        <w:rPr>
          <w:rFonts w:eastAsia="Times New Roman" w:cs="Times New Roman"/>
          <w:iCs/>
          <w:sz w:val="24"/>
          <w:szCs w:val="24"/>
        </w:rPr>
        <w:t xml:space="preserve">began with federalism.  The per curiam </w:t>
      </w:r>
      <w:proofErr w:type="gramStart"/>
      <w:r>
        <w:rPr>
          <w:rFonts w:eastAsia="Times New Roman" w:cs="Times New Roman"/>
          <w:iCs/>
          <w:sz w:val="24"/>
          <w:szCs w:val="24"/>
        </w:rPr>
        <w:t>o[</w:t>
      </w:r>
      <w:proofErr w:type="gramEnd"/>
      <w:r>
        <w:rPr>
          <w:rFonts w:eastAsia="Times New Roman" w:cs="Times New Roman"/>
          <w:iCs/>
          <w:sz w:val="24"/>
          <w:szCs w:val="24"/>
        </w:rPr>
        <w:t>inion asserted t</w:t>
      </w:r>
      <w:r w:rsidRPr="00C75EAC">
        <w:rPr>
          <w:rFonts w:eastAsia="Times New Roman" w:cs="Times New Roman"/>
          <w:sz w:val="24"/>
          <w:szCs w:val="24"/>
        </w:rPr>
        <w:t>hat</w:t>
      </w:r>
      <w:r w:rsidRPr="00C75EAC">
        <w:rPr>
          <w:rFonts w:eastAsia="Times New Roman" w:cs="Times New Roman"/>
          <w:sz w:val="24"/>
          <w:szCs w:val="24"/>
          <w:highlight w:val="white"/>
        </w:rPr>
        <w:t xml:space="preserve"> “the Fourteenth Amendment restricts state power,”</w:t>
      </w:r>
      <w:r w:rsidRPr="00C75EAC">
        <w:rPr>
          <w:rFonts w:eastAsia="Times New Roman" w:cs="Times New Roman"/>
          <w:sz w:val="24"/>
          <w:szCs w:val="24"/>
          <w:highlight w:val="white"/>
          <w:vertAlign w:val="superscript"/>
        </w:rPr>
        <w:footnoteReference w:id="21"/>
      </w:r>
      <w:r w:rsidRPr="00C75EAC">
        <w:rPr>
          <w:rFonts w:eastAsia="Times New Roman" w:cs="Times New Roman"/>
          <w:sz w:val="24"/>
          <w:szCs w:val="24"/>
          <w:highlight w:val="white"/>
        </w:rPr>
        <w:t xml:space="preserve"> and that “Section 3 of the Amendment likewise restricts state autonomy.”</w:t>
      </w:r>
      <w:r w:rsidRPr="00C75EAC">
        <w:rPr>
          <w:rFonts w:eastAsia="Times New Roman" w:cs="Times New Roman"/>
          <w:sz w:val="24"/>
          <w:szCs w:val="24"/>
          <w:highlight w:val="white"/>
          <w:vertAlign w:val="superscript"/>
        </w:rPr>
        <w:footnoteReference w:id="22"/>
      </w:r>
      <w:r w:rsidRPr="00C75EAC">
        <w:rPr>
          <w:sz w:val="24"/>
          <w:szCs w:val="24"/>
        </w:rPr>
        <w:t xml:space="preserve"> </w:t>
      </w:r>
      <w:r w:rsidR="00C32526">
        <w:rPr>
          <w:sz w:val="24"/>
          <w:szCs w:val="24"/>
        </w:rPr>
        <w:t xml:space="preserve">The justices then noted that states could not disqualify insurrections before the Civil War </w:t>
      </w:r>
      <w:r w:rsidR="00C32526" w:rsidRPr="00C32526">
        <w:rPr>
          <w:sz w:val="24"/>
          <w:szCs w:val="24"/>
        </w:rPr>
        <w:t xml:space="preserve">and that </w:t>
      </w:r>
      <w:r w:rsidR="00C32526" w:rsidRPr="00C32526">
        <w:rPr>
          <w:rFonts w:eastAsia="Times New Roman" w:cs="Times New Roman"/>
          <w:sz w:val="24"/>
          <w:szCs w:val="24"/>
          <w:highlight w:val="white"/>
        </w:rPr>
        <w:t>Section Three “does not affirmatively delegate . . . to the States”</w:t>
      </w:r>
      <w:r w:rsidR="00C32526" w:rsidRPr="00C32526">
        <w:rPr>
          <w:rFonts w:eastAsia="Times New Roman" w:cs="Times New Roman"/>
          <w:sz w:val="24"/>
          <w:szCs w:val="24"/>
          <w:highlight w:val="white"/>
          <w:vertAlign w:val="superscript"/>
        </w:rPr>
        <w:footnoteReference w:id="23"/>
      </w:r>
      <w:r w:rsidR="00C32526" w:rsidRPr="00C32526">
        <w:rPr>
          <w:rFonts w:eastAsia="Times New Roman" w:cs="Times New Roman"/>
          <w:sz w:val="24"/>
          <w:szCs w:val="24"/>
          <w:highlight w:val="white"/>
        </w:rPr>
        <w:t xml:space="preserve"> the power to prevent candidates for federal office from being on the state election ballot.</w:t>
      </w:r>
      <w:r w:rsidR="00C32526">
        <w:rPr>
          <w:rFonts w:eastAsia="Times New Roman" w:cs="Times New Roman"/>
          <w:sz w:val="24"/>
          <w:szCs w:val="24"/>
        </w:rPr>
        <w:t xml:space="preserve">  </w:t>
      </w:r>
      <w:r w:rsidR="00A54C39">
        <w:rPr>
          <w:rFonts w:eastAsia="Times New Roman" w:cs="Times New Roman"/>
          <w:sz w:val="24"/>
          <w:szCs w:val="24"/>
        </w:rPr>
        <w:t xml:space="preserve">Doing so would violate fundamental principles of federalism.  The per </w:t>
      </w:r>
      <w:proofErr w:type="spellStart"/>
      <w:r w:rsidR="00A54C39">
        <w:rPr>
          <w:rFonts w:eastAsia="Times New Roman" w:cs="Times New Roman"/>
          <w:sz w:val="24"/>
          <w:szCs w:val="24"/>
        </w:rPr>
        <w:t>curiam</w:t>
      </w:r>
      <w:proofErr w:type="spellEnd"/>
      <w:r w:rsidR="00A54C39">
        <w:rPr>
          <w:rFonts w:eastAsia="Times New Roman" w:cs="Times New Roman"/>
          <w:sz w:val="24"/>
          <w:szCs w:val="24"/>
        </w:rPr>
        <w:t xml:space="preserve"> insisted, “the Constitution guarantees the entire independence of the General Government from any control by the respective States.”</w:t>
      </w:r>
      <w:r w:rsidR="00A54C39">
        <w:rPr>
          <w:rStyle w:val="FootnoteReference"/>
          <w:rFonts w:eastAsia="Times New Roman" w:cs="Times New Roman"/>
          <w:sz w:val="24"/>
          <w:szCs w:val="24"/>
        </w:rPr>
        <w:footnoteReference w:id="24"/>
      </w:r>
    </w:p>
    <w:p w14:paraId="4C21E31F" w14:textId="3B66D8ED" w:rsidR="00307FE3" w:rsidRPr="00A54C39" w:rsidRDefault="00C32526" w:rsidP="00D95DD1">
      <w:pPr>
        <w:spacing w:after="0" w:line="480" w:lineRule="auto"/>
        <w:ind w:firstLine="720"/>
        <w:rPr>
          <w:rFonts w:eastAsia="Times New Roman" w:cs="Times New Roman"/>
          <w:bCs/>
          <w:iCs/>
          <w:sz w:val="24"/>
          <w:szCs w:val="24"/>
        </w:rPr>
      </w:pPr>
      <w:r>
        <w:rPr>
          <w:rFonts w:eastAsia="Times New Roman" w:cs="Times New Roman"/>
          <w:sz w:val="24"/>
          <w:szCs w:val="24"/>
        </w:rPr>
        <w:t xml:space="preserve">Congress was the only institution the could disqualify candidates for </w:t>
      </w:r>
      <w:r w:rsidRPr="00C32526">
        <w:rPr>
          <w:rFonts w:eastAsia="Times New Roman" w:cs="Times New Roman"/>
          <w:sz w:val="24"/>
          <w:szCs w:val="24"/>
        </w:rPr>
        <w:t xml:space="preserve">presidential office.  </w:t>
      </w:r>
      <w:r w:rsidR="00A54C39">
        <w:rPr>
          <w:rFonts w:eastAsia="Times New Roman" w:cs="Times New Roman"/>
          <w:sz w:val="24"/>
          <w:szCs w:val="24"/>
        </w:rPr>
        <w:t xml:space="preserve">This, the justices believed, was the teaching of history.  </w:t>
      </w:r>
      <w:r w:rsidRPr="00C32526">
        <w:rPr>
          <w:rFonts w:eastAsia="Times New Roman" w:cs="Times New Roman"/>
          <w:sz w:val="24"/>
          <w:szCs w:val="24"/>
        </w:rPr>
        <w:t xml:space="preserve">A crucial passage in </w:t>
      </w:r>
      <w:r w:rsidR="00A54C39">
        <w:rPr>
          <w:rFonts w:eastAsia="Times New Roman" w:cs="Times New Roman"/>
          <w:i/>
          <w:iCs/>
          <w:sz w:val="24"/>
          <w:szCs w:val="24"/>
        </w:rPr>
        <w:t xml:space="preserve">Trump v. </w:t>
      </w:r>
      <w:r w:rsidRPr="00C32526">
        <w:rPr>
          <w:rFonts w:eastAsia="Times New Roman" w:cs="Times New Roman"/>
          <w:i/>
          <w:sz w:val="24"/>
          <w:szCs w:val="24"/>
        </w:rPr>
        <w:t xml:space="preserve">Anderson </w:t>
      </w:r>
      <w:r w:rsidR="00A54C39">
        <w:rPr>
          <w:rFonts w:eastAsia="Times New Roman" w:cs="Times New Roman"/>
          <w:iCs/>
          <w:sz w:val="24"/>
          <w:szCs w:val="24"/>
        </w:rPr>
        <w:t xml:space="preserve">claimed that </w:t>
      </w:r>
      <w:proofErr w:type="spellStart"/>
      <w:r w:rsidR="00A54C39">
        <w:rPr>
          <w:rFonts w:eastAsia="Times New Roman" w:cs="Times New Roman"/>
          <w:iCs/>
          <w:sz w:val="24"/>
          <w:szCs w:val="24"/>
        </w:rPr>
        <w:t>Recpnstruction</w:t>
      </w:r>
      <w:proofErr w:type="spellEnd"/>
      <w:r w:rsidR="00A54C39">
        <w:rPr>
          <w:rFonts w:eastAsia="Times New Roman" w:cs="Times New Roman"/>
          <w:iCs/>
          <w:sz w:val="24"/>
          <w:szCs w:val="24"/>
        </w:rPr>
        <w:t xml:space="preserve"> </w:t>
      </w:r>
      <w:r w:rsidR="00A54C39" w:rsidRPr="00A54C39">
        <w:rPr>
          <w:rFonts w:eastAsia="Times New Roman" w:cs="Times New Roman"/>
          <w:iCs/>
          <w:sz w:val="24"/>
          <w:szCs w:val="24"/>
        </w:rPr>
        <w:t xml:space="preserve">Republicans maintain </w:t>
      </w:r>
      <w:r w:rsidRPr="00A54C39">
        <w:rPr>
          <w:rFonts w:eastAsia="Times New Roman" w:cs="Times New Roman"/>
          <w:iCs/>
          <w:sz w:val="24"/>
          <w:szCs w:val="24"/>
        </w:rPr>
        <w:t>“[t]he Constitution</w:t>
      </w:r>
      <w:r w:rsidR="00A54C39" w:rsidRPr="00A54C39">
        <w:rPr>
          <w:rFonts w:eastAsia="Times New Roman" w:cs="Times New Roman"/>
          <w:iCs/>
          <w:sz w:val="24"/>
          <w:szCs w:val="24"/>
        </w:rPr>
        <w:t xml:space="preserve"> </w:t>
      </w:r>
      <w:r w:rsidRPr="00A54C39">
        <w:rPr>
          <w:rFonts w:eastAsia="Times New Roman" w:cs="Times New Roman"/>
          <w:iCs/>
          <w:sz w:val="24"/>
          <w:szCs w:val="24"/>
        </w:rPr>
        <w:t>‘</w:t>
      </w:r>
      <w:r w:rsidRPr="00A54C39">
        <w:rPr>
          <w:rFonts w:eastAsia="Times New Roman" w:cs="Times New Roman"/>
          <w:bCs/>
          <w:iCs/>
          <w:sz w:val="24"/>
          <w:szCs w:val="24"/>
        </w:rPr>
        <w:t>provide[d] no means for enforcing</w:t>
      </w:r>
      <w:r w:rsidRPr="00A54C39">
        <w:rPr>
          <w:rFonts w:eastAsia="Times New Roman" w:cs="Times New Roman"/>
          <w:iCs/>
          <w:sz w:val="24"/>
          <w:szCs w:val="24"/>
        </w:rPr>
        <w:t>’ the disqualification, necessitating a ‘</w:t>
      </w:r>
      <w:r w:rsidRPr="00A54C39">
        <w:rPr>
          <w:rFonts w:eastAsia="Times New Roman" w:cs="Times New Roman"/>
          <w:bCs/>
          <w:iCs/>
          <w:sz w:val="24"/>
          <w:szCs w:val="24"/>
        </w:rPr>
        <w:t xml:space="preserve">bill to give effect to the fundamental law </w:t>
      </w:r>
      <w:r w:rsidRPr="00A54C39">
        <w:rPr>
          <w:rFonts w:eastAsia="Times New Roman" w:cs="Times New Roman"/>
          <w:bCs/>
          <w:iCs/>
          <w:sz w:val="24"/>
          <w:szCs w:val="24"/>
        </w:rPr>
        <w:lastRenderedPageBreak/>
        <w:t>embraced in the Constitution.</w:t>
      </w:r>
      <w:r w:rsidRPr="00A54C39">
        <w:rPr>
          <w:rFonts w:eastAsia="Times New Roman" w:cs="Times New Roman"/>
          <w:iCs/>
          <w:sz w:val="24"/>
          <w:szCs w:val="24"/>
          <w:vertAlign w:val="superscript"/>
        </w:rPr>
        <w:footnoteReference w:id="25"/>
      </w:r>
      <w:r w:rsidR="00A54C39">
        <w:rPr>
          <w:rFonts w:eastAsia="Times New Roman" w:cs="Times New Roman"/>
          <w:bCs/>
          <w:iCs/>
          <w:sz w:val="24"/>
          <w:szCs w:val="24"/>
        </w:rPr>
        <w:t xml:space="preserve">  Congress could disqualify, however, only under the watchful eyes of the </w:t>
      </w:r>
      <w:r w:rsidR="00A54C39" w:rsidRPr="00A54C39">
        <w:rPr>
          <w:rFonts w:eastAsia="Times New Roman" w:cs="Times New Roman"/>
          <w:bCs/>
          <w:iCs/>
          <w:sz w:val="24"/>
          <w:szCs w:val="24"/>
        </w:rPr>
        <w:t xml:space="preserve">Supreme Court.  </w:t>
      </w:r>
      <w:r w:rsidR="00A54C39">
        <w:rPr>
          <w:rFonts w:eastAsia="Times New Roman" w:cs="Times New Roman"/>
          <w:bCs/>
          <w:iCs/>
          <w:sz w:val="24"/>
          <w:szCs w:val="24"/>
        </w:rPr>
        <w:t>“</w:t>
      </w:r>
      <w:r w:rsidR="00A54C39" w:rsidRPr="00A54C39">
        <w:rPr>
          <w:rFonts w:cs="Times New Roman"/>
          <w:color w:val="1F1F1F"/>
          <w:sz w:val="24"/>
          <w:szCs w:val="24"/>
          <w:shd w:val="clear" w:color="auto" w:fill="FFFFFF"/>
        </w:rPr>
        <w:t>Any congressional legislation enforcing Section 3 must,</w:t>
      </w:r>
      <w:r w:rsidR="00A54C39">
        <w:rPr>
          <w:rFonts w:cs="Times New Roman"/>
          <w:color w:val="1F1F1F"/>
          <w:sz w:val="24"/>
          <w:szCs w:val="24"/>
          <w:shd w:val="clear" w:color="auto" w:fill="FFFFFF"/>
        </w:rPr>
        <w:t>” the Court insisted,</w:t>
      </w:r>
      <w:r w:rsidR="00A54C39" w:rsidRPr="00A54C39">
        <w:rPr>
          <w:rFonts w:cs="Times New Roman"/>
          <w:color w:val="1F1F1F"/>
          <w:sz w:val="24"/>
          <w:szCs w:val="24"/>
          <w:shd w:val="clear" w:color="auto" w:fill="FFFFFF"/>
        </w:rPr>
        <w:t xml:space="preserve"> </w:t>
      </w:r>
      <w:r w:rsidR="00A54C39">
        <w:rPr>
          <w:rFonts w:cs="Times New Roman"/>
          <w:color w:val="1F1F1F"/>
          <w:sz w:val="24"/>
          <w:szCs w:val="24"/>
          <w:shd w:val="clear" w:color="auto" w:fill="FFFFFF"/>
        </w:rPr>
        <w:t>“</w:t>
      </w:r>
      <w:r w:rsidR="00A54C39" w:rsidRPr="00A54C39">
        <w:rPr>
          <w:rFonts w:cs="Times New Roman"/>
          <w:color w:val="1F1F1F"/>
          <w:sz w:val="24"/>
          <w:szCs w:val="24"/>
          <w:shd w:val="clear" w:color="auto" w:fill="FFFFFF"/>
        </w:rPr>
        <w:t xml:space="preserve">reflect </w:t>
      </w:r>
      <w:r w:rsidR="00A54C39">
        <w:rPr>
          <w:rFonts w:cs="Times New Roman"/>
          <w:color w:val="1F1F1F"/>
          <w:sz w:val="24"/>
          <w:szCs w:val="24"/>
          <w:shd w:val="clear" w:color="auto" w:fill="FFFFFF"/>
        </w:rPr>
        <w:t>‘</w:t>
      </w:r>
      <w:r w:rsidR="00A54C39" w:rsidRPr="00A54C39">
        <w:rPr>
          <w:rFonts w:cs="Times New Roman"/>
          <w:color w:val="1F1F1F"/>
          <w:sz w:val="24"/>
          <w:szCs w:val="24"/>
          <w:shd w:val="clear" w:color="auto" w:fill="FFFFFF"/>
        </w:rPr>
        <w:t>congruence and proportionality</w:t>
      </w:r>
      <w:r w:rsidR="00FF1286">
        <w:rPr>
          <w:rFonts w:cs="Times New Roman"/>
          <w:color w:val="1F1F1F"/>
          <w:sz w:val="24"/>
          <w:szCs w:val="24"/>
          <w:shd w:val="clear" w:color="auto" w:fill="FFFFFF"/>
        </w:rPr>
        <w:t>’</w:t>
      </w:r>
      <w:r w:rsidR="00A54C39" w:rsidRPr="00A54C39">
        <w:rPr>
          <w:rFonts w:cs="Times New Roman"/>
          <w:color w:val="1F1F1F"/>
          <w:sz w:val="24"/>
          <w:szCs w:val="24"/>
          <w:shd w:val="clear" w:color="auto" w:fill="FFFFFF"/>
        </w:rPr>
        <w:t xml:space="preserve"> between preventing or remedying that conduct “and the means adopted to that end.”</w:t>
      </w:r>
      <w:r w:rsidR="00FF1286">
        <w:rPr>
          <w:rStyle w:val="FootnoteReference"/>
          <w:rFonts w:cs="Times New Roman"/>
          <w:color w:val="1F1F1F"/>
          <w:sz w:val="24"/>
          <w:szCs w:val="24"/>
          <w:shd w:val="clear" w:color="auto" w:fill="FFFFFF"/>
        </w:rPr>
        <w:footnoteReference w:id="26"/>
      </w:r>
      <w:r w:rsidR="00A54C39" w:rsidRPr="00A54C39">
        <w:rPr>
          <w:rFonts w:cs="Times New Roman"/>
          <w:color w:val="1F1F1F"/>
          <w:sz w:val="24"/>
          <w:szCs w:val="24"/>
          <w:shd w:val="clear" w:color="auto" w:fill="FFFFFF"/>
        </w:rPr>
        <w:t> </w:t>
      </w:r>
    </w:p>
    <w:p w14:paraId="339535A1" w14:textId="56D6DFDD" w:rsidR="00771F4D" w:rsidRDefault="00C32526" w:rsidP="00984FCE">
      <w:pPr>
        <w:spacing w:after="0" w:line="480" w:lineRule="auto"/>
        <w:rPr>
          <w:rFonts w:eastAsia="Times New Roman" w:cs="Times New Roman"/>
          <w:bCs/>
          <w:sz w:val="24"/>
          <w:szCs w:val="24"/>
        </w:rPr>
      </w:pPr>
      <w:r>
        <w:rPr>
          <w:rFonts w:eastAsia="Times New Roman" w:cs="Times New Roman"/>
          <w:bCs/>
          <w:sz w:val="24"/>
          <w:szCs w:val="24"/>
        </w:rPr>
        <w:tab/>
      </w:r>
      <w:r w:rsidR="00D95DD1">
        <w:rPr>
          <w:rFonts w:eastAsia="Times New Roman" w:cs="Times New Roman"/>
          <w:bCs/>
          <w:sz w:val="24"/>
          <w:szCs w:val="24"/>
        </w:rPr>
        <w:t>Justice Amy Coney Barrett’s opinion pointed out that a</w:t>
      </w:r>
      <w:r w:rsidR="0044573E">
        <w:rPr>
          <w:rFonts w:eastAsia="Times New Roman" w:cs="Times New Roman"/>
          <w:bCs/>
          <w:sz w:val="24"/>
          <w:szCs w:val="24"/>
        </w:rPr>
        <w:t>ll nine</w:t>
      </w:r>
      <w:r>
        <w:rPr>
          <w:rFonts w:eastAsia="Times New Roman" w:cs="Times New Roman"/>
          <w:bCs/>
          <w:sz w:val="24"/>
          <w:szCs w:val="24"/>
        </w:rPr>
        <w:t xml:space="preserve"> justices agreed that states could not disqualify candidates for the presidential office</w:t>
      </w:r>
      <w:r w:rsidR="0044573E">
        <w:rPr>
          <w:rFonts w:eastAsia="Times New Roman" w:cs="Times New Roman"/>
          <w:bCs/>
          <w:sz w:val="24"/>
          <w:szCs w:val="24"/>
        </w:rPr>
        <w:t>.</w:t>
      </w:r>
      <w:r w:rsidR="0044573E">
        <w:rPr>
          <w:rStyle w:val="FootnoteReference"/>
          <w:rFonts w:eastAsia="Times New Roman" w:cs="Times New Roman"/>
          <w:bCs/>
          <w:sz w:val="24"/>
          <w:szCs w:val="24"/>
        </w:rPr>
        <w:footnoteReference w:id="27"/>
      </w:r>
      <w:r w:rsidR="0044573E">
        <w:rPr>
          <w:rFonts w:eastAsia="Times New Roman" w:cs="Times New Roman"/>
          <w:bCs/>
          <w:sz w:val="24"/>
          <w:szCs w:val="24"/>
        </w:rPr>
        <w:t xml:space="preserve">  </w:t>
      </w:r>
      <w:r w:rsidR="00D95DD1">
        <w:rPr>
          <w:rFonts w:eastAsia="Times New Roman" w:cs="Times New Roman"/>
          <w:bCs/>
          <w:sz w:val="24"/>
          <w:szCs w:val="24"/>
        </w:rPr>
        <w:t xml:space="preserve">She </w:t>
      </w:r>
      <w:r w:rsidR="0044573E">
        <w:rPr>
          <w:rFonts w:eastAsia="Times New Roman" w:cs="Times New Roman"/>
          <w:bCs/>
          <w:sz w:val="24"/>
          <w:szCs w:val="24"/>
        </w:rPr>
        <w:t>would go no further. Her concurrence futilely asked the court to be a voice of unity in a time of social division.</w:t>
      </w:r>
      <w:r>
        <w:rPr>
          <w:rFonts w:eastAsia="Times New Roman" w:cs="Times New Roman"/>
          <w:bCs/>
          <w:sz w:val="24"/>
          <w:szCs w:val="24"/>
        </w:rPr>
        <w:t xml:space="preserve"> </w:t>
      </w:r>
      <w:r w:rsidR="0044573E">
        <w:rPr>
          <w:rFonts w:eastAsia="Times New Roman" w:cs="Times New Roman"/>
          <w:bCs/>
          <w:sz w:val="24"/>
          <w:szCs w:val="24"/>
        </w:rPr>
        <w:t>“The Court has settled a political charged issue in the volatile season of a Presidential election,” she wrote.  “</w:t>
      </w:r>
      <w:proofErr w:type="gramStart"/>
      <w:r w:rsidR="0044573E">
        <w:rPr>
          <w:rFonts w:eastAsia="Times New Roman" w:cs="Times New Roman"/>
          <w:bCs/>
          <w:sz w:val="24"/>
          <w:szCs w:val="24"/>
        </w:rPr>
        <w:t>particularly</w:t>
      </w:r>
      <w:proofErr w:type="gramEnd"/>
      <w:r w:rsidR="0044573E">
        <w:rPr>
          <w:rFonts w:eastAsia="Times New Roman" w:cs="Times New Roman"/>
          <w:bCs/>
          <w:sz w:val="24"/>
          <w:szCs w:val="24"/>
        </w:rPr>
        <w:t xml:space="preserve"> in this circumstance, writings on the Court should turn the national temperature down, not up.”</w:t>
      </w:r>
      <w:r w:rsidR="0044573E">
        <w:rPr>
          <w:rStyle w:val="FootnoteReference"/>
          <w:rFonts w:eastAsia="Times New Roman" w:cs="Times New Roman"/>
          <w:bCs/>
          <w:sz w:val="24"/>
          <w:szCs w:val="24"/>
        </w:rPr>
        <w:footnoteReference w:id="28"/>
      </w:r>
    </w:p>
    <w:p w14:paraId="7085E8A9" w14:textId="68A694C4" w:rsidR="00DE3625" w:rsidRDefault="0044573E" w:rsidP="00771F4D">
      <w:pPr>
        <w:spacing w:after="0" w:line="480" w:lineRule="auto"/>
        <w:ind w:firstLine="720"/>
        <w:rPr>
          <w:rFonts w:eastAsia="Times New Roman" w:cs="Times New Roman"/>
          <w:bCs/>
          <w:sz w:val="24"/>
          <w:szCs w:val="24"/>
        </w:rPr>
      </w:pPr>
      <w:r>
        <w:rPr>
          <w:rFonts w:eastAsia="Times New Roman" w:cs="Times New Roman"/>
          <w:bCs/>
          <w:sz w:val="24"/>
          <w:szCs w:val="24"/>
        </w:rPr>
        <w:t>Justices Sonia Sotomayor, Elena Kagan, and Ketanji Brown Jackson were less will</w:t>
      </w:r>
      <w:r w:rsidR="00771F4D">
        <w:rPr>
          <w:rFonts w:eastAsia="Times New Roman" w:cs="Times New Roman"/>
          <w:bCs/>
          <w:sz w:val="24"/>
          <w:szCs w:val="24"/>
        </w:rPr>
        <w:t>ing</w:t>
      </w:r>
      <w:r>
        <w:rPr>
          <w:rFonts w:eastAsia="Times New Roman" w:cs="Times New Roman"/>
          <w:bCs/>
          <w:sz w:val="24"/>
          <w:szCs w:val="24"/>
        </w:rPr>
        <w:t xml:space="preserve"> to be good sports about the perceived excesses of the majority opinion.  </w:t>
      </w:r>
      <w:r w:rsidR="005464F2">
        <w:rPr>
          <w:rFonts w:eastAsia="Times New Roman" w:cs="Times New Roman"/>
          <w:bCs/>
          <w:sz w:val="24"/>
          <w:szCs w:val="24"/>
        </w:rPr>
        <w:t xml:space="preserve">They supported the per </w:t>
      </w:r>
      <w:proofErr w:type="spellStart"/>
      <w:r w:rsidR="005464F2">
        <w:rPr>
          <w:rFonts w:eastAsia="Times New Roman" w:cs="Times New Roman"/>
          <w:bCs/>
          <w:sz w:val="24"/>
          <w:szCs w:val="24"/>
        </w:rPr>
        <w:t>curiam</w:t>
      </w:r>
      <w:proofErr w:type="spellEnd"/>
      <w:r w:rsidR="005464F2">
        <w:rPr>
          <w:rFonts w:eastAsia="Times New Roman" w:cs="Times New Roman"/>
          <w:bCs/>
          <w:sz w:val="24"/>
          <w:szCs w:val="24"/>
        </w:rPr>
        <w:t xml:space="preserve"> view that </w:t>
      </w:r>
      <w:r w:rsidR="00771F4D">
        <w:rPr>
          <w:rFonts w:eastAsia="Times New Roman" w:cs="Times New Roman"/>
          <w:bCs/>
          <w:sz w:val="24"/>
          <w:szCs w:val="24"/>
        </w:rPr>
        <w:t>state disqualification threatened “a chaotic state-by-state patchwork, at odds with our Nation’s federalism principles.”</w:t>
      </w:r>
      <w:r w:rsidR="00771F4D">
        <w:rPr>
          <w:rStyle w:val="FootnoteReference"/>
          <w:rFonts w:eastAsia="Times New Roman" w:cs="Times New Roman"/>
          <w:bCs/>
          <w:sz w:val="24"/>
          <w:szCs w:val="24"/>
        </w:rPr>
        <w:footnoteReference w:id="29"/>
      </w:r>
      <w:r w:rsidR="00771F4D">
        <w:rPr>
          <w:rFonts w:eastAsia="Times New Roman" w:cs="Times New Roman"/>
          <w:bCs/>
          <w:sz w:val="24"/>
          <w:szCs w:val="24"/>
        </w:rPr>
        <w:t xml:space="preserve">  Different principles governed federal judicial disqualification.  </w:t>
      </w:r>
      <w:r w:rsidR="00DE3625">
        <w:rPr>
          <w:rFonts w:eastAsia="Times New Roman" w:cs="Times New Roman"/>
          <w:bCs/>
          <w:sz w:val="24"/>
          <w:szCs w:val="24"/>
        </w:rPr>
        <w:t>The concurrence pointed out that the text of Section Three declares only that “</w:t>
      </w:r>
      <w:proofErr w:type="spellStart"/>
      <w:r w:rsidR="00DE3625">
        <w:rPr>
          <w:rFonts w:eastAsia="Times New Roman" w:cs="Times New Roman"/>
          <w:bCs/>
          <w:sz w:val="24"/>
          <w:szCs w:val="24"/>
        </w:rPr>
        <w:t>oathbreaking</w:t>
      </w:r>
      <w:proofErr w:type="spellEnd"/>
      <w:r w:rsidR="00DE3625">
        <w:rPr>
          <w:rFonts w:eastAsia="Times New Roman" w:cs="Times New Roman"/>
          <w:bCs/>
          <w:sz w:val="24"/>
          <w:szCs w:val="24"/>
        </w:rPr>
        <w:t xml:space="preserve"> insurrection</w:t>
      </w:r>
      <w:r w:rsidR="00771F4D">
        <w:rPr>
          <w:rFonts w:eastAsia="Times New Roman" w:cs="Times New Roman"/>
          <w:bCs/>
          <w:sz w:val="24"/>
          <w:szCs w:val="24"/>
        </w:rPr>
        <w:t>ist</w:t>
      </w:r>
      <w:r w:rsidR="00DE3625">
        <w:rPr>
          <w:rFonts w:eastAsia="Times New Roman" w:cs="Times New Roman"/>
          <w:bCs/>
          <w:sz w:val="24"/>
          <w:szCs w:val="24"/>
        </w:rPr>
        <w:t>s” may not hold federal or state offices.  “Nothing,” the three more liberal justices pointed out, “in that unequivocal bar suggests that implementing legislation enacted under Section 5 is ‘critical.’”</w:t>
      </w:r>
      <w:r w:rsidR="00771F4D">
        <w:rPr>
          <w:rStyle w:val="FootnoteReference"/>
          <w:rFonts w:eastAsia="Times New Roman" w:cs="Times New Roman"/>
          <w:bCs/>
          <w:sz w:val="24"/>
          <w:szCs w:val="24"/>
        </w:rPr>
        <w:footnoteReference w:id="30"/>
      </w:r>
      <w:r w:rsidR="00DE3625">
        <w:rPr>
          <w:rFonts w:eastAsia="Times New Roman" w:cs="Times New Roman"/>
          <w:bCs/>
          <w:sz w:val="24"/>
          <w:szCs w:val="24"/>
        </w:rPr>
        <w:t xml:space="preserve">  </w:t>
      </w:r>
      <w:r w:rsidR="00771F4D">
        <w:rPr>
          <w:rFonts w:eastAsia="Times New Roman" w:cs="Times New Roman"/>
          <w:bCs/>
          <w:sz w:val="24"/>
          <w:szCs w:val="24"/>
        </w:rPr>
        <w:t>T</w:t>
      </w:r>
      <w:r w:rsidR="00DE3625">
        <w:rPr>
          <w:rFonts w:eastAsia="Times New Roman" w:cs="Times New Roman"/>
          <w:bCs/>
          <w:sz w:val="24"/>
          <w:szCs w:val="24"/>
        </w:rPr>
        <w:t xml:space="preserve">he majority’s reading of Section Three undercut that provision’s vesting Congress with the power to </w:t>
      </w:r>
      <w:r w:rsidR="00771F4D">
        <w:rPr>
          <w:rFonts w:eastAsia="Times New Roman" w:cs="Times New Roman"/>
          <w:bCs/>
          <w:sz w:val="24"/>
          <w:szCs w:val="24"/>
        </w:rPr>
        <w:t xml:space="preserve">forgive past insurrectionists. </w:t>
      </w:r>
      <w:r w:rsidR="00DE3625">
        <w:rPr>
          <w:rFonts w:eastAsia="Times New Roman" w:cs="Times New Roman"/>
          <w:bCs/>
          <w:sz w:val="24"/>
          <w:szCs w:val="24"/>
        </w:rPr>
        <w:t xml:space="preserve"> “It is hard to </w:t>
      </w:r>
      <w:r w:rsidR="00DE3625">
        <w:rPr>
          <w:rFonts w:eastAsia="Times New Roman" w:cs="Times New Roman"/>
          <w:bCs/>
          <w:sz w:val="24"/>
          <w:szCs w:val="24"/>
        </w:rPr>
        <w:lastRenderedPageBreak/>
        <w:t>understand why the Constitution would require a congressional supermajority to remove a disqualification,” the concurrence pointed out, if a simpl</w:t>
      </w:r>
      <w:r w:rsidR="00771F4D">
        <w:rPr>
          <w:rFonts w:eastAsia="Times New Roman" w:cs="Times New Roman"/>
          <w:bCs/>
          <w:sz w:val="24"/>
          <w:szCs w:val="24"/>
        </w:rPr>
        <w:t>e</w:t>
      </w:r>
      <w:r w:rsidR="00DE3625">
        <w:rPr>
          <w:rFonts w:eastAsia="Times New Roman" w:cs="Times New Roman"/>
          <w:bCs/>
          <w:sz w:val="24"/>
          <w:szCs w:val="24"/>
        </w:rPr>
        <w:t xml:space="preserve"> majority could nullify Section 3’s operation by repealing or declining to pass implementing legislation.”</w:t>
      </w:r>
      <w:r w:rsidR="00771F4D">
        <w:rPr>
          <w:rStyle w:val="FootnoteReference"/>
          <w:rFonts w:eastAsia="Times New Roman" w:cs="Times New Roman"/>
          <w:bCs/>
          <w:sz w:val="24"/>
          <w:szCs w:val="24"/>
        </w:rPr>
        <w:footnoteReference w:id="31"/>
      </w:r>
      <w:r w:rsidR="00DE3625">
        <w:rPr>
          <w:rFonts w:eastAsia="Times New Roman" w:cs="Times New Roman"/>
          <w:bCs/>
          <w:sz w:val="24"/>
          <w:szCs w:val="24"/>
        </w:rPr>
        <w:t xml:space="preserve">  </w:t>
      </w:r>
      <w:r w:rsidR="00771F4D">
        <w:rPr>
          <w:rFonts w:eastAsia="Times New Roman" w:cs="Times New Roman"/>
          <w:bCs/>
          <w:sz w:val="24"/>
          <w:szCs w:val="24"/>
        </w:rPr>
        <w:t xml:space="preserve">Insisting on legislation to implement Section Three was made that provision an anomaly in federal constitutional law, given that every other provision of the Fourteenth Amendment and every other presidential qualification can be enforced directly by the federal judiciary.  </w:t>
      </w:r>
      <w:r w:rsidR="00771F4D">
        <w:rPr>
          <w:rFonts w:eastAsia="Times New Roman" w:cs="Times New Roman"/>
          <w:bCs/>
          <w:i/>
          <w:iCs/>
          <w:sz w:val="24"/>
          <w:szCs w:val="24"/>
        </w:rPr>
        <w:t>Trump v. Anderson</w:t>
      </w:r>
      <w:r w:rsidR="00771F4D">
        <w:rPr>
          <w:rFonts w:eastAsia="Times New Roman" w:cs="Times New Roman"/>
          <w:bCs/>
          <w:sz w:val="24"/>
          <w:szCs w:val="24"/>
        </w:rPr>
        <w:t>, the concurrence concluded, “simply creates a special rule for the insurrection disability in Section Three.”</w:t>
      </w:r>
      <w:r w:rsidR="00CF4871">
        <w:rPr>
          <w:rStyle w:val="FootnoteReference"/>
          <w:rFonts w:eastAsia="Times New Roman" w:cs="Times New Roman"/>
          <w:bCs/>
          <w:sz w:val="24"/>
          <w:szCs w:val="24"/>
        </w:rPr>
        <w:footnoteReference w:id="32"/>
      </w:r>
      <w:r w:rsidR="00771F4D">
        <w:rPr>
          <w:rFonts w:eastAsia="Times New Roman" w:cs="Times New Roman"/>
          <w:bCs/>
          <w:i/>
          <w:iCs/>
          <w:sz w:val="24"/>
          <w:szCs w:val="24"/>
        </w:rPr>
        <w:t xml:space="preserve"> </w:t>
      </w:r>
      <w:r w:rsidR="00DE3625">
        <w:rPr>
          <w:rFonts w:eastAsia="Times New Roman" w:cs="Times New Roman"/>
          <w:bCs/>
          <w:sz w:val="24"/>
          <w:szCs w:val="24"/>
        </w:rPr>
        <w:t>The only issue the concurrence left open is why the above considerations do not also justify state disqualifications, which are no more barred by the text of Section Three than federal judicial disqualifications.</w:t>
      </w:r>
    </w:p>
    <w:p w14:paraId="5C84EC1E" w14:textId="77777777" w:rsidR="00001432" w:rsidRDefault="00001432" w:rsidP="00984FCE">
      <w:pPr>
        <w:spacing w:after="0" w:line="480" w:lineRule="auto"/>
        <w:rPr>
          <w:rFonts w:eastAsia="Times New Roman" w:cs="Times New Roman"/>
          <w:bCs/>
          <w:sz w:val="24"/>
          <w:szCs w:val="24"/>
        </w:rPr>
      </w:pPr>
    </w:p>
    <w:p w14:paraId="5E9B02C5" w14:textId="73642A86" w:rsidR="00001432" w:rsidRDefault="00001432" w:rsidP="00984FCE">
      <w:pPr>
        <w:spacing w:after="0" w:line="480" w:lineRule="auto"/>
        <w:rPr>
          <w:rFonts w:eastAsia="Times New Roman" w:cs="Times New Roman"/>
          <w:bCs/>
          <w:sz w:val="24"/>
          <w:szCs w:val="24"/>
        </w:rPr>
      </w:pPr>
      <w:r>
        <w:rPr>
          <w:rFonts w:eastAsia="Times New Roman" w:cs="Times New Roman"/>
          <w:bCs/>
          <w:sz w:val="24"/>
          <w:szCs w:val="24"/>
        </w:rPr>
        <w:tab/>
      </w:r>
      <w:r w:rsidR="00086908">
        <w:rPr>
          <w:rFonts w:eastAsia="Times New Roman" w:cs="Times New Roman"/>
          <w:bCs/>
          <w:sz w:val="24"/>
          <w:szCs w:val="24"/>
        </w:rPr>
        <w:t>A different Supreme Court majority might have made a more powerful case that states should not have the constitutional power to disqualify candidates for the national executive.  A fair case can be made that the national government ought to make the rules for national elections, that states can no more be trusted to tax the national bank fairly than to fairly assess the qualification of national candidates.</w:t>
      </w:r>
      <w:r w:rsidR="00086908">
        <w:rPr>
          <w:rStyle w:val="FootnoteReference"/>
          <w:rFonts w:eastAsia="Times New Roman" w:cs="Times New Roman"/>
          <w:bCs/>
          <w:sz w:val="24"/>
          <w:szCs w:val="24"/>
        </w:rPr>
        <w:footnoteReference w:id="33"/>
      </w:r>
      <w:r w:rsidR="00086908">
        <w:rPr>
          <w:rFonts w:eastAsia="Times New Roman" w:cs="Times New Roman"/>
          <w:bCs/>
          <w:sz w:val="24"/>
          <w:szCs w:val="24"/>
        </w:rPr>
        <w:t xml:space="preserve">  Whether such an argument is available to the Roberts Court is doubtful.  Past p</w:t>
      </w:r>
      <w:r>
        <w:rPr>
          <w:rFonts w:eastAsia="Times New Roman" w:cs="Times New Roman"/>
          <w:bCs/>
          <w:sz w:val="24"/>
          <w:szCs w:val="24"/>
        </w:rPr>
        <w:t xml:space="preserve">recedents </w:t>
      </w:r>
      <w:r w:rsidR="00086908">
        <w:rPr>
          <w:rFonts w:eastAsia="Times New Roman" w:cs="Times New Roman"/>
          <w:bCs/>
          <w:sz w:val="24"/>
          <w:szCs w:val="24"/>
        </w:rPr>
        <w:t xml:space="preserve">that </w:t>
      </w:r>
      <w:r w:rsidR="00086908">
        <w:rPr>
          <w:rFonts w:eastAsia="Times New Roman" w:cs="Times New Roman"/>
          <w:bCs/>
          <w:i/>
          <w:iCs/>
          <w:sz w:val="24"/>
          <w:szCs w:val="24"/>
        </w:rPr>
        <w:t xml:space="preserve">Trump v. Anderson </w:t>
      </w:r>
      <w:r w:rsidR="00086908">
        <w:rPr>
          <w:rFonts w:eastAsia="Times New Roman" w:cs="Times New Roman"/>
          <w:bCs/>
          <w:sz w:val="24"/>
          <w:szCs w:val="24"/>
        </w:rPr>
        <w:t xml:space="preserve">left standing </w:t>
      </w:r>
      <w:r>
        <w:rPr>
          <w:rFonts w:eastAsia="Times New Roman" w:cs="Times New Roman"/>
          <w:bCs/>
          <w:sz w:val="24"/>
          <w:szCs w:val="24"/>
        </w:rPr>
        <w:t xml:space="preserve">permit states to </w:t>
      </w:r>
      <w:r w:rsidR="00086908">
        <w:rPr>
          <w:rFonts w:eastAsia="Times New Roman" w:cs="Times New Roman"/>
          <w:bCs/>
          <w:sz w:val="24"/>
          <w:szCs w:val="24"/>
        </w:rPr>
        <w:t>regulate elections in ways that may prevent candidates for the presidency from appearing on the state ballot.</w:t>
      </w:r>
      <w:r>
        <w:rPr>
          <w:rStyle w:val="FootnoteReference"/>
          <w:rFonts w:eastAsia="Times New Roman" w:cs="Times New Roman"/>
          <w:bCs/>
          <w:sz w:val="24"/>
          <w:szCs w:val="24"/>
        </w:rPr>
        <w:footnoteReference w:id="34"/>
      </w:r>
      <w:r>
        <w:rPr>
          <w:rFonts w:eastAsia="Times New Roman" w:cs="Times New Roman"/>
          <w:bCs/>
          <w:sz w:val="24"/>
          <w:szCs w:val="24"/>
        </w:rPr>
        <w:t xml:space="preserve">  </w:t>
      </w:r>
      <w:r w:rsidR="00086908">
        <w:rPr>
          <w:rFonts w:eastAsia="Times New Roman" w:cs="Times New Roman"/>
          <w:bCs/>
          <w:sz w:val="24"/>
          <w:szCs w:val="24"/>
        </w:rPr>
        <w:t xml:space="preserve">Justice Neil Gorsuch while on the </w:t>
      </w:r>
      <w:r w:rsidR="00086908" w:rsidRPr="009E68D4">
        <w:rPr>
          <w:rFonts w:eastAsia="Times New Roman" w:cs="Times New Roman"/>
          <w:bCs/>
          <w:sz w:val="24"/>
          <w:szCs w:val="24"/>
        </w:rPr>
        <w:t xml:space="preserve">lower federal courts </w:t>
      </w:r>
      <w:r w:rsidRPr="009E68D4">
        <w:rPr>
          <w:rFonts w:eastAsia="Times New Roman" w:cs="Times New Roman"/>
          <w:bCs/>
          <w:sz w:val="24"/>
          <w:szCs w:val="24"/>
        </w:rPr>
        <w:t xml:space="preserve">did not quake when states disqualified presidential candidates for being underage. </w:t>
      </w:r>
      <w:r w:rsidR="009E68D4" w:rsidRPr="009E68D4">
        <w:rPr>
          <w:rFonts w:eastAsia="Times New Roman" w:cs="Times New Roman"/>
          <w:sz w:val="24"/>
          <w:szCs w:val="24"/>
        </w:rPr>
        <w:t>“[A]</w:t>
      </w:r>
      <w:r w:rsidR="009E68D4" w:rsidRPr="009E68D4">
        <w:rPr>
          <w:rFonts w:eastAsia="Times New Roman" w:cs="Times New Roman"/>
          <w:sz w:val="24"/>
          <w:szCs w:val="24"/>
          <w:highlight w:val="white"/>
        </w:rPr>
        <w:t xml:space="preserve"> state's legitimate interest in </w:t>
      </w:r>
      <w:r w:rsidR="009E68D4" w:rsidRPr="009E68D4">
        <w:rPr>
          <w:rFonts w:eastAsia="Times New Roman" w:cs="Times New Roman"/>
          <w:sz w:val="24"/>
          <w:szCs w:val="24"/>
          <w:highlight w:val="white"/>
        </w:rPr>
        <w:lastRenderedPageBreak/>
        <w:t>protecting the integrity and practical functioning of the political process,” he stated, “permits it to exclude from the ballot candidates who are constitutionally prohibited from assuming office.”</w:t>
      </w:r>
      <w:r w:rsidR="009E68D4" w:rsidRPr="009E68D4">
        <w:rPr>
          <w:rFonts w:eastAsia="Times New Roman" w:cs="Times New Roman"/>
          <w:sz w:val="24"/>
          <w:szCs w:val="24"/>
          <w:highlight w:val="white"/>
          <w:vertAlign w:val="superscript"/>
        </w:rPr>
        <w:footnoteReference w:id="35"/>
      </w:r>
      <w:r w:rsidR="009E68D4" w:rsidRPr="009E68D4">
        <w:rPr>
          <w:rFonts w:eastAsia="Times New Roman" w:cs="Times New Roman"/>
          <w:bCs/>
          <w:sz w:val="24"/>
          <w:szCs w:val="24"/>
        </w:rPr>
        <w:t xml:space="preserve">  </w:t>
      </w:r>
      <w:r w:rsidRPr="009E68D4">
        <w:rPr>
          <w:rFonts w:eastAsia="Times New Roman" w:cs="Times New Roman"/>
          <w:bCs/>
          <w:sz w:val="24"/>
          <w:szCs w:val="24"/>
        </w:rPr>
        <w:t xml:space="preserve"> </w:t>
      </w:r>
      <w:r w:rsidRPr="009E68D4">
        <w:rPr>
          <w:rFonts w:eastAsia="Times New Roman" w:cs="Times New Roman"/>
          <w:bCs/>
          <w:i/>
          <w:iCs/>
          <w:sz w:val="24"/>
          <w:szCs w:val="24"/>
        </w:rPr>
        <w:t>Trump</w:t>
      </w:r>
      <w:r>
        <w:rPr>
          <w:rFonts w:eastAsia="Times New Roman" w:cs="Times New Roman"/>
          <w:bCs/>
          <w:i/>
          <w:iCs/>
          <w:sz w:val="24"/>
          <w:szCs w:val="24"/>
        </w:rPr>
        <w:t xml:space="preserve"> v. Anderson </w:t>
      </w:r>
      <w:r>
        <w:rPr>
          <w:rFonts w:eastAsia="Times New Roman" w:cs="Times New Roman"/>
          <w:bCs/>
          <w:sz w:val="24"/>
          <w:szCs w:val="24"/>
        </w:rPr>
        <w:t xml:space="preserve">gave no good reason why </w:t>
      </w:r>
      <w:r w:rsidR="00086908">
        <w:rPr>
          <w:rFonts w:eastAsia="Times New Roman" w:cs="Times New Roman"/>
          <w:bCs/>
          <w:sz w:val="24"/>
          <w:szCs w:val="24"/>
        </w:rPr>
        <w:t xml:space="preserve">states could be trusted to implement </w:t>
      </w:r>
      <w:r>
        <w:rPr>
          <w:rFonts w:eastAsia="Times New Roman" w:cs="Times New Roman"/>
          <w:bCs/>
          <w:sz w:val="24"/>
          <w:szCs w:val="24"/>
        </w:rPr>
        <w:t xml:space="preserve">the presidential qualifications outlined in Article II </w:t>
      </w:r>
      <w:r w:rsidR="00086908">
        <w:rPr>
          <w:rFonts w:eastAsia="Times New Roman" w:cs="Times New Roman"/>
          <w:bCs/>
          <w:sz w:val="24"/>
          <w:szCs w:val="24"/>
        </w:rPr>
        <w:t xml:space="preserve">but not the </w:t>
      </w:r>
      <w:r>
        <w:rPr>
          <w:rFonts w:eastAsia="Times New Roman" w:cs="Times New Roman"/>
          <w:bCs/>
          <w:sz w:val="24"/>
          <w:szCs w:val="24"/>
        </w:rPr>
        <w:t xml:space="preserve">presidential qualification added in Section Three of the Fourteenth Amendment. </w:t>
      </w:r>
    </w:p>
    <w:p w14:paraId="7AE067DD" w14:textId="11E7C94D" w:rsidR="00001432" w:rsidRDefault="00001432" w:rsidP="00984FCE">
      <w:pPr>
        <w:spacing w:after="0" w:line="480" w:lineRule="auto"/>
        <w:rPr>
          <w:rFonts w:eastAsia="Times New Roman" w:cs="Times New Roman"/>
          <w:bCs/>
          <w:sz w:val="24"/>
          <w:szCs w:val="24"/>
        </w:rPr>
      </w:pPr>
      <w:r>
        <w:rPr>
          <w:rFonts w:eastAsia="Times New Roman" w:cs="Times New Roman"/>
          <w:bCs/>
          <w:sz w:val="24"/>
          <w:szCs w:val="24"/>
        </w:rPr>
        <w:tab/>
      </w:r>
      <w:r w:rsidR="00AB797E">
        <w:rPr>
          <w:rFonts w:eastAsia="Times New Roman" w:cs="Times New Roman"/>
          <w:bCs/>
          <w:sz w:val="24"/>
          <w:szCs w:val="24"/>
        </w:rPr>
        <w:t xml:space="preserve">Whether presidential disqualification is a democratic blessing or curse is controversial.  Progressive critics of the </w:t>
      </w:r>
      <w:r w:rsidR="00AB797E">
        <w:rPr>
          <w:rFonts w:eastAsia="Times New Roman" w:cs="Times New Roman"/>
          <w:bCs/>
          <w:i/>
          <w:iCs/>
          <w:sz w:val="24"/>
          <w:szCs w:val="24"/>
        </w:rPr>
        <w:t xml:space="preserve">Trump v. Anderson </w:t>
      </w:r>
      <w:r w:rsidR="00AB797E">
        <w:rPr>
          <w:rFonts w:eastAsia="Times New Roman" w:cs="Times New Roman"/>
          <w:bCs/>
          <w:sz w:val="24"/>
          <w:szCs w:val="24"/>
        </w:rPr>
        <w:t>litigation complained that litigation was taking up energy best devoted to political organizing.</w:t>
      </w:r>
      <w:r w:rsidR="00F74F1B">
        <w:rPr>
          <w:rStyle w:val="FootnoteReference"/>
          <w:rFonts w:eastAsia="Times New Roman" w:cs="Times New Roman"/>
          <w:bCs/>
          <w:sz w:val="24"/>
          <w:szCs w:val="24"/>
        </w:rPr>
        <w:footnoteReference w:id="36"/>
      </w:r>
      <w:r w:rsidR="00AB797E">
        <w:rPr>
          <w:rFonts w:eastAsia="Times New Roman" w:cs="Times New Roman"/>
          <w:bCs/>
          <w:sz w:val="24"/>
          <w:szCs w:val="24"/>
        </w:rPr>
        <w:t xml:space="preserve">  Comparativists observed that while most constitutional democracies </w:t>
      </w:r>
      <w:r w:rsidR="00F74F1B">
        <w:rPr>
          <w:rFonts w:eastAsia="Times New Roman" w:cs="Times New Roman"/>
          <w:bCs/>
          <w:sz w:val="24"/>
          <w:szCs w:val="24"/>
        </w:rPr>
        <w:t>practice</w:t>
      </w:r>
      <w:r w:rsidR="00AB797E">
        <w:rPr>
          <w:rFonts w:eastAsia="Times New Roman" w:cs="Times New Roman"/>
          <w:bCs/>
          <w:sz w:val="24"/>
          <w:szCs w:val="24"/>
        </w:rPr>
        <w:t xml:space="preserve"> some form of disqualification, disqualification in practice </w:t>
      </w:r>
      <w:r w:rsidR="00F74F1B">
        <w:rPr>
          <w:rFonts w:eastAsia="Times New Roman" w:cs="Times New Roman"/>
          <w:bCs/>
          <w:sz w:val="24"/>
          <w:szCs w:val="24"/>
        </w:rPr>
        <w:t>i</w:t>
      </w:r>
      <w:r w:rsidR="00AB797E">
        <w:rPr>
          <w:rFonts w:eastAsia="Times New Roman" w:cs="Times New Roman"/>
          <w:bCs/>
          <w:sz w:val="24"/>
          <w:szCs w:val="24"/>
        </w:rPr>
        <w:t>s a democratic mixed blessing.  Legitimate political parties are as likely to be forced off the ballot as the fascist coalitions intended by constitutional framers abroad.</w:t>
      </w:r>
      <w:r w:rsidR="00F74F1B">
        <w:rPr>
          <w:rStyle w:val="FootnoteReference"/>
          <w:rFonts w:eastAsia="Times New Roman" w:cs="Times New Roman"/>
          <w:bCs/>
          <w:sz w:val="24"/>
          <w:szCs w:val="24"/>
        </w:rPr>
        <w:footnoteReference w:id="37"/>
      </w:r>
      <w:r w:rsidR="00AB797E">
        <w:rPr>
          <w:rFonts w:eastAsia="Times New Roman" w:cs="Times New Roman"/>
          <w:bCs/>
          <w:sz w:val="24"/>
          <w:szCs w:val="24"/>
        </w:rPr>
        <w:t xml:space="preserve">  On the plus side, </w:t>
      </w:r>
      <w:r w:rsidR="00AB797E">
        <w:rPr>
          <w:rFonts w:eastAsia="Times New Roman" w:cs="Times New Roman"/>
          <w:bCs/>
          <w:i/>
          <w:iCs/>
          <w:sz w:val="24"/>
          <w:szCs w:val="24"/>
        </w:rPr>
        <w:t xml:space="preserve">Trump v. Anderson </w:t>
      </w:r>
      <w:r w:rsidR="00AB797E">
        <w:rPr>
          <w:rFonts w:eastAsia="Times New Roman" w:cs="Times New Roman"/>
          <w:bCs/>
          <w:sz w:val="24"/>
          <w:szCs w:val="24"/>
        </w:rPr>
        <w:t>hardly exhausted Trump’s critics.  The litigation was sponsored by a small public interest law firm and supported by a handful of academics.  The ongoing litigation kept Trump’s misdeeds in the press at a time he would have preferred illegal immigration dominate the headlines.</w:t>
      </w:r>
      <w:r w:rsidR="00F74F1B">
        <w:rPr>
          <w:rFonts w:eastAsia="Times New Roman" w:cs="Times New Roman"/>
          <w:bCs/>
          <w:sz w:val="24"/>
          <w:szCs w:val="24"/>
        </w:rPr>
        <w:t xml:space="preserve">  Fears that the litigation would alienate independents seem misplaced.  The 2024 national election has so far moved to rhythms having nothing to do with Section Three.</w:t>
      </w:r>
    </w:p>
    <w:p w14:paraId="527EEFD9" w14:textId="3D5D2C6F" w:rsidR="00573CAB" w:rsidRPr="001471CF" w:rsidRDefault="00D54E53" w:rsidP="00A96B1A">
      <w:pPr>
        <w:spacing w:after="0" w:line="480" w:lineRule="auto"/>
        <w:ind w:firstLine="720"/>
        <w:rPr>
          <w:sz w:val="24"/>
          <w:szCs w:val="24"/>
        </w:rPr>
      </w:pPr>
      <w:r>
        <w:rPr>
          <w:rFonts w:eastAsia="Times New Roman" w:cs="Times New Roman"/>
          <w:bCs/>
          <w:sz w:val="24"/>
          <w:szCs w:val="24"/>
        </w:rPr>
        <w:t xml:space="preserve">The </w:t>
      </w:r>
      <w:r w:rsidR="00A96B1A">
        <w:rPr>
          <w:rFonts w:eastAsia="Times New Roman" w:cs="Times New Roman"/>
          <w:bCs/>
          <w:sz w:val="24"/>
          <w:szCs w:val="24"/>
        </w:rPr>
        <w:t>fall and winter</w:t>
      </w:r>
      <w:r>
        <w:rPr>
          <w:rFonts w:eastAsia="Times New Roman" w:cs="Times New Roman"/>
          <w:bCs/>
          <w:sz w:val="24"/>
          <w:szCs w:val="24"/>
        </w:rPr>
        <w:t xml:space="preserve"> law reviews may be the last hurrah for Section </w:t>
      </w:r>
      <w:r w:rsidR="00A96B1A">
        <w:rPr>
          <w:rFonts w:eastAsia="Times New Roman" w:cs="Times New Roman"/>
          <w:bCs/>
          <w:sz w:val="24"/>
          <w:szCs w:val="24"/>
        </w:rPr>
        <w:t>Three</w:t>
      </w:r>
      <w:r>
        <w:rPr>
          <w:rFonts w:eastAsia="Times New Roman" w:cs="Times New Roman"/>
          <w:bCs/>
          <w:sz w:val="24"/>
          <w:szCs w:val="24"/>
        </w:rPr>
        <w:t xml:space="preserve">.  Baude and Paulsen have an article in the </w:t>
      </w:r>
      <w:r>
        <w:rPr>
          <w:rFonts w:eastAsia="Times New Roman" w:cs="Times New Roman"/>
          <w:bCs/>
          <w:i/>
          <w:iCs/>
          <w:sz w:val="24"/>
          <w:szCs w:val="24"/>
        </w:rPr>
        <w:t>Harvard Law Review</w:t>
      </w:r>
      <w:r>
        <w:rPr>
          <w:rFonts w:eastAsia="Times New Roman" w:cs="Times New Roman"/>
          <w:bCs/>
          <w:sz w:val="24"/>
          <w:szCs w:val="24"/>
        </w:rPr>
        <w:t xml:space="preserve"> criticizing the judicial decisions.</w:t>
      </w:r>
      <w:r w:rsidR="00A96B1A">
        <w:rPr>
          <w:rStyle w:val="FootnoteReference"/>
          <w:rFonts w:eastAsia="Times New Roman" w:cs="Times New Roman"/>
          <w:bCs/>
          <w:sz w:val="24"/>
          <w:szCs w:val="24"/>
        </w:rPr>
        <w:footnoteReference w:id="38"/>
      </w:r>
      <w:r>
        <w:rPr>
          <w:rFonts w:eastAsia="Times New Roman" w:cs="Times New Roman"/>
          <w:bCs/>
          <w:sz w:val="24"/>
          <w:szCs w:val="24"/>
        </w:rPr>
        <w:t xml:space="preserve">  I have </w:t>
      </w:r>
      <w:r>
        <w:rPr>
          <w:rFonts w:eastAsia="Times New Roman" w:cs="Times New Roman"/>
          <w:bCs/>
          <w:sz w:val="24"/>
          <w:szCs w:val="24"/>
        </w:rPr>
        <w:lastRenderedPageBreak/>
        <w:t>several pieces coming out in various law reviews.</w:t>
      </w:r>
      <w:r w:rsidR="00A96B1A">
        <w:rPr>
          <w:rStyle w:val="FootnoteReference"/>
          <w:rFonts w:eastAsia="Times New Roman" w:cs="Times New Roman"/>
          <w:bCs/>
          <w:sz w:val="24"/>
          <w:szCs w:val="24"/>
        </w:rPr>
        <w:footnoteReference w:id="39"/>
      </w:r>
      <w:r>
        <w:rPr>
          <w:rFonts w:eastAsia="Times New Roman" w:cs="Times New Roman"/>
          <w:bCs/>
          <w:sz w:val="24"/>
          <w:szCs w:val="24"/>
        </w:rPr>
        <w:t xml:space="preserve"> No doubt other veterans of the disqualification fight have packaged their wares into bite-sized (really mouthful) law review essays.  These works are more likely to be read as memoirs by historians than as sources of law by litigators.  </w:t>
      </w:r>
      <w:r w:rsidR="001471CF">
        <w:rPr>
          <w:rFonts w:eastAsia="Times New Roman" w:cs="Times New Roman"/>
          <w:bCs/>
          <w:sz w:val="24"/>
          <w:szCs w:val="24"/>
        </w:rPr>
        <w:t xml:space="preserve">Section 3 </w:t>
      </w:r>
      <w:r w:rsidR="00A96B1A">
        <w:rPr>
          <w:rFonts w:eastAsia="Times New Roman" w:cs="Times New Roman"/>
          <w:bCs/>
          <w:sz w:val="24"/>
          <w:szCs w:val="24"/>
        </w:rPr>
        <w:t xml:space="preserve">will be </w:t>
      </w:r>
      <w:r w:rsidR="001471CF">
        <w:rPr>
          <w:rFonts w:eastAsia="Times New Roman" w:cs="Times New Roman"/>
          <w:bCs/>
          <w:sz w:val="24"/>
          <w:szCs w:val="24"/>
        </w:rPr>
        <w:t xml:space="preserve">relevant again </w:t>
      </w:r>
      <w:proofErr w:type="gramStart"/>
      <w:r w:rsidR="00A96B1A">
        <w:rPr>
          <w:rFonts w:eastAsia="Times New Roman" w:cs="Times New Roman"/>
          <w:bCs/>
          <w:sz w:val="24"/>
          <w:szCs w:val="24"/>
        </w:rPr>
        <w:t>in the near future</w:t>
      </w:r>
      <w:proofErr w:type="gramEnd"/>
      <w:r w:rsidR="00A96B1A">
        <w:rPr>
          <w:rFonts w:eastAsia="Times New Roman" w:cs="Times New Roman"/>
          <w:bCs/>
          <w:sz w:val="24"/>
          <w:szCs w:val="24"/>
        </w:rPr>
        <w:t xml:space="preserve"> </w:t>
      </w:r>
      <w:r w:rsidR="001471CF">
        <w:rPr>
          <w:rFonts w:eastAsia="Times New Roman" w:cs="Times New Roman"/>
          <w:bCs/>
          <w:sz w:val="24"/>
          <w:szCs w:val="24"/>
        </w:rPr>
        <w:t xml:space="preserve">only in the unlikely event that Trump wins the presidency in the 2024 national election and Democrats gain control of both Houses of Congress. </w:t>
      </w:r>
      <w:r w:rsidR="00F74F1B">
        <w:rPr>
          <w:rFonts w:eastAsia="Times New Roman" w:cs="Times New Roman"/>
          <w:bCs/>
          <w:sz w:val="24"/>
          <w:szCs w:val="24"/>
        </w:rPr>
        <w:t xml:space="preserve"> Perhaps one or two minor officials may keep a few of us occupied, but most participants in the attempt to disqualify Donald Trump have gotten back to our day jobs.</w:t>
      </w:r>
      <w:r w:rsidR="001471CF">
        <w:rPr>
          <w:rFonts w:eastAsia="Times New Roman" w:cs="Times New Roman"/>
          <w:bCs/>
          <w:sz w:val="24"/>
          <w:szCs w:val="24"/>
        </w:rPr>
        <w:t xml:space="preserve"> Our return to obscurity is likely good for the country.  A constitutional democracy that depends on constitutional litigation to keep oath breaking insurrectionists out of office in the long run is not likely to remain a constitutional democracy.</w:t>
      </w:r>
    </w:p>
    <w:p w14:paraId="5A900C9C" w14:textId="77777777" w:rsidR="00A23DD4" w:rsidRDefault="00A23DD4" w:rsidP="00984FCE">
      <w:pPr>
        <w:spacing w:after="0" w:line="480" w:lineRule="auto"/>
        <w:rPr>
          <w:sz w:val="24"/>
          <w:szCs w:val="24"/>
        </w:rPr>
      </w:pPr>
    </w:p>
    <w:sectPr w:rsidR="00A23D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4ED9E" w14:textId="77777777" w:rsidR="00756E8F" w:rsidRDefault="00756E8F" w:rsidP="001243BD">
      <w:pPr>
        <w:spacing w:after="0" w:line="240" w:lineRule="auto"/>
      </w:pPr>
      <w:r>
        <w:separator/>
      </w:r>
    </w:p>
  </w:endnote>
  <w:endnote w:type="continuationSeparator" w:id="0">
    <w:p w14:paraId="0BA90A74" w14:textId="77777777" w:rsidR="00756E8F" w:rsidRDefault="00756E8F" w:rsidP="0012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20AC6" w14:textId="77777777" w:rsidR="00756E8F" w:rsidRDefault="00756E8F" w:rsidP="001243BD">
      <w:pPr>
        <w:spacing w:after="0" w:line="240" w:lineRule="auto"/>
      </w:pPr>
      <w:r>
        <w:separator/>
      </w:r>
    </w:p>
  </w:footnote>
  <w:footnote w:type="continuationSeparator" w:id="0">
    <w:p w14:paraId="58482909" w14:textId="77777777" w:rsidR="00756E8F" w:rsidRDefault="00756E8F" w:rsidP="001243BD">
      <w:pPr>
        <w:spacing w:after="0" w:line="240" w:lineRule="auto"/>
      </w:pPr>
      <w:r>
        <w:continuationSeparator/>
      </w:r>
    </w:p>
  </w:footnote>
  <w:footnote w:id="1">
    <w:p w14:paraId="41680DFA" w14:textId="4B31F77D" w:rsidR="0052053C" w:rsidRPr="00AD26E2" w:rsidRDefault="0052053C">
      <w:pPr>
        <w:pStyle w:val="FootnoteText"/>
      </w:pPr>
      <w:r>
        <w:rPr>
          <w:rStyle w:val="FootnoteReference"/>
        </w:rPr>
        <w:footnoteRef/>
      </w:r>
      <w:r>
        <w:t xml:space="preserve"> </w:t>
      </w:r>
      <w:r w:rsidR="00AD26E2">
        <w:t xml:space="preserve">See Myles S. Lynch, “Disloyalty &amp; Disqualification: Reconstructing Section 3 of the Fourteenth Amendment,” 30 </w:t>
      </w:r>
      <w:r w:rsidR="00AD26E2">
        <w:rPr>
          <w:i/>
          <w:iCs/>
        </w:rPr>
        <w:t>William &amp; Mary Bill of Rights Journal</w:t>
      </w:r>
      <w:r w:rsidR="00AD26E2">
        <w:t xml:space="preserve"> 153, 210-14 (2021).</w:t>
      </w:r>
    </w:p>
  </w:footnote>
  <w:footnote w:id="2">
    <w:p w14:paraId="2880772B" w14:textId="36C45150" w:rsidR="0034495A" w:rsidRPr="0034495A" w:rsidRDefault="0034495A">
      <w:pPr>
        <w:pStyle w:val="FootnoteText"/>
      </w:pPr>
      <w:r>
        <w:rPr>
          <w:rStyle w:val="FootnoteReference"/>
        </w:rPr>
        <w:footnoteRef/>
      </w:r>
      <w:r>
        <w:t xml:space="preserve"> The first volume was published in 2023.  See Mark A. Graber, </w:t>
      </w:r>
      <w:r>
        <w:rPr>
          <w:i/>
          <w:iCs/>
        </w:rPr>
        <w:t xml:space="preserve">Punish Treason, Reward Loyalty: The Forgotten Goals of Constitutional Reform after the Civil War </w:t>
      </w:r>
      <w:r>
        <w:t>(University Press of Kansas: Lawrence, 2023).</w:t>
      </w:r>
    </w:p>
  </w:footnote>
  <w:footnote w:id="3">
    <w:p w14:paraId="7F54A455" w14:textId="0980BEE3" w:rsidR="0034495A" w:rsidRPr="0033476E" w:rsidRDefault="0034495A">
      <w:pPr>
        <w:pStyle w:val="FootnoteText"/>
      </w:pPr>
      <w:r>
        <w:rPr>
          <w:rStyle w:val="FootnoteReference"/>
        </w:rPr>
        <w:footnoteRef/>
      </w:r>
      <w:r>
        <w:t xml:space="preserve"> </w:t>
      </w:r>
      <w:r w:rsidR="0033476E">
        <w:t xml:space="preserve">See, i.e., </w:t>
      </w:r>
      <w:proofErr w:type="spellStart"/>
      <w:r w:rsidR="0033476E">
        <w:t>Franita</w:t>
      </w:r>
      <w:proofErr w:type="spellEnd"/>
      <w:r w:rsidR="0033476E">
        <w:t xml:space="preserve"> Tolson, “What is Abridgment? A Critique of Two Section Twos,” </w:t>
      </w:r>
      <w:r w:rsidR="0033476E">
        <w:rPr>
          <w:i/>
          <w:iCs/>
        </w:rPr>
        <w:t xml:space="preserve">Alabama Law Review </w:t>
      </w:r>
      <w:r w:rsidR="0033476E">
        <w:t>433 (2015).</w:t>
      </w:r>
    </w:p>
  </w:footnote>
  <w:footnote w:id="4">
    <w:p w14:paraId="3B93A324" w14:textId="225F7FBD" w:rsidR="0034495A" w:rsidRPr="0033476E" w:rsidRDefault="0034495A">
      <w:pPr>
        <w:pStyle w:val="FootnoteText"/>
      </w:pPr>
      <w:r>
        <w:rPr>
          <w:rStyle w:val="FootnoteReference"/>
        </w:rPr>
        <w:footnoteRef/>
      </w:r>
      <w:r>
        <w:t xml:space="preserve"> </w:t>
      </w:r>
      <w:r w:rsidR="0033476E">
        <w:t xml:space="preserve">See Eric Foner, “The Constitution Has a 155-Yearold Answer to the Debt Ceiling,” </w:t>
      </w:r>
      <w:r w:rsidR="0033476E">
        <w:rPr>
          <w:i/>
          <w:iCs/>
        </w:rPr>
        <w:t>The New York Times</w:t>
      </w:r>
      <w:r w:rsidR="0033476E">
        <w:t>, January 23, 2023,</w:t>
      </w:r>
      <w:r w:rsidR="004A41B3" w:rsidRPr="004A41B3">
        <w:t xml:space="preserve"> https://www.nytimes.com/2023/01/23/opinion/fourteenth-amendment-debt-ceiling.html#:~:text=The%20Constitution%20Has%20a%20155-Year-Old%20Answer%20to%20the%20Debt%20Ceilin</w:t>
      </w:r>
      <w:r w:rsidR="004A41B3">
        <w:t>g.</w:t>
      </w:r>
      <w:r w:rsidR="0033476E">
        <w:t xml:space="preserve"> </w:t>
      </w:r>
    </w:p>
  </w:footnote>
  <w:footnote w:id="5">
    <w:p w14:paraId="0B30704C" w14:textId="7B6B521E" w:rsidR="00922FA5" w:rsidRPr="00AD26E2" w:rsidRDefault="00922FA5">
      <w:pPr>
        <w:pStyle w:val="FootnoteText"/>
      </w:pPr>
      <w:r>
        <w:rPr>
          <w:rStyle w:val="FootnoteReference"/>
        </w:rPr>
        <w:footnoteRef/>
      </w:r>
      <w:r>
        <w:t xml:space="preserve"> </w:t>
      </w:r>
      <w:r w:rsidR="00AD26E2">
        <w:t xml:space="preserve">See especially, Gerard Magliocca, “Amnesty and Section Three of the Fourteenth Amendment,” 36 </w:t>
      </w:r>
      <w:r w:rsidR="00AD26E2">
        <w:rPr>
          <w:i/>
          <w:iCs/>
        </w:rPr>
        <w:t xml:space="preserve">Constitutional Commentary </w:t>
      </w:r>
      <w:r w:rsidR="00AD26E2">
        <w:t>87 (2021)</w:t>
      </w:r>
    </w:p>
  </w:footnote>
  <w:footnote w:id="6">
    <w:p w14:paraId="5D899352" w14:textId="179C97FC" w:rsidR="0052053C" w:rsidRPr="00AD26E2" w:rsidRDefault="0052053C">
      <w:pPr>
        <w:pStyle w:val="FootnoteText"/>
      </w:pPr>
      <w:r>
        <w:rPr>
          <w:rStyle w:val="FootnoteReference"/>
        </w:rPr>
        <w:footnoteRef/>
      </w:r>
      <w:r>
        <w:t xml:space="preserve"> </w:t>
      </w:r>
      <w:r w:rsidR="00AD26E2">
        <w:t xml:space="preserve">Most notably, I crossed a major item off my bucket list by placing an opinion piece in </w:t>
      </w:r>
      <w:r w:rsidR="00AD26E2" w:rsidRPr="00AD26E2">
        <w:rPr>
          <w:i/>
          <w:iCs/>
        </w:rPr>
        <w:t>The New York Times</w:t>
      </w:r>
      <w:r w:rsidR="00AD26E2">
        <w:t xml:space="preserve">. Mark A. Graber, “Donald Trump and the Jefferson Davis Problem,” </w:t>
      </w:r>
      <w:r w:rsidR="00AD26E2">
        <w:rPr>
          <w:i/>
          <w:iCs/>
        </w:rPr>
        <w:t>The New York Times</w:t>
      </w:r>
      <w:r w:rsidR="00AD26E2">
        <w:t xml:space="preserve">, November 29, 2023, </w:t>
      </w:r>
      <w:r w:rsidR="00AD26E2" w:rsidRPr="00AD26E2">
        <w:t>https://www.nytimes.com/2023/11/29/opinion/trump-president-candidate-constitution.htm</w:t>
      </w:r>
      <w:r w:rsidR="00AD26E2">
        <w:t>1.</w:t>
      </w:r>
    </w:p>
  </w:footnote>
  <w:footnote w:id="7">
    <w:p w14:paraId="00A7E0E1" w14:textId="279E1875" w:rsidR="00922FA5" w:rsidRDefault="00922FA5">
      <w:pPr>
        <w:pStyle w:val="FootnoteText"/>
      </w:pPr>
      <w:r>
        <w:rPr>
          <w:rStyle w:val="FootnoteReference"/>
        </w:rPr>
        <w:footnoteRef/>
      </w:r>
      <w:r>
        <w:t xml:space="preserve"> </w:t>
      </w:r>
      <w:r w:rsidR="0052053C">
        <w:t xml:space="preserve">I </w:t>
      </w:r>
      <w:r w:rsidR="00AD26E2">
        <w:t xml:space="preserve">advised the Committee for Responsibility and </w:t>
      </w:r>
      <w:r w:rsidR="0034495A">
        <w:t>Ethics</w:t>
      </w:r>
      <w:r w:rsidR="00AD26E2">
        <w:t xml:space="preserve"> in Washington, that brought the litigation that culminated in </w:t>
      </w:r>
      <w:r w:rsidR="00AD26E2">
        <w:rPr>
          <w:i/>
          <w:iCs/>
        </w:rPr>
        <w:t>Trump v. Anderson</w:t>
      </w:r>
      <w:r w:rsidR="00AD26E2">
        <w:t xml:space="preserve">, </w:t>
      </w:r>
      <w:r w:rsidR="0052053C">
        <w:t>wrote amicus briefs for the Supreme Court of the United States, the Supreme Court of Colorado, and the Maine Secretary of State</w:t>
      </w:r>
      <w:r w:rsidR="00AD26E2">
        <w:t xml:space="preserve">, and </w:t>
      </w:r>
      <w:r w:rsidR="0052053C">
        <w:t>served as an expert witness at the hearing that resulted in the Section 3 disqualification of Couy Griffin, a county commissioner in New Mexico.</w:t>
      </w:r>
    </w:p>
  </w:footnote>
  <w:footnote w:id="8">
    <w:p w14:paraId="58FD4B7F" w14:textId="593C4209" w:rsidR="0052053C" w:rsidRDefault="0052053C">
      <w:pPr>
        <w:pStyle w:val="FootnoteText"/>
      </w:pPr>
      <w:r>
        <w:rPr>
          <w:rStyle w:val="FootnoteReference"/>
        </w:rPr>
        <w:footnoteRef/>
      </w:r>
      <w:r>
        <w:t xml:space="preserve"> 601 U.S. 100 (2024).</w:t>
      </w:r>
    </w:p>
  </w:footnote>
  <w:footnote w:id="9">
    <w:p w14:paraId="28484958" w14:textId="55CE477B" w:rsidR="00CB439D" w:rsidRPr="002A1479" w:rsidRDefault="00CB439D">
      <w:pPr>
        <w:pStyle w:val="FootnoteText"/>
        <w:rPr>
          <w:i/>
          <w:iCs/>
        </w:rPr>
      </w:pPr>
      <w:r>
        <w:rPr>
          <w:rStyle w:val="FootnoteReference"/>
        </w:rPr>
        <w:footnoteRef/>
      </w:r>
      <w:r>
        <w:t xml:space="preserve"> The two most important essays that rejected disqualifying Trump under Section 3 are </w:t>
      </w:r>
      <w:r w:rsidR="002A1479">
        <w:t xml:space="preserve">Josh Blackman and Seth Barrett Tillman, “Sweeping and Forcing the President into Section 3,” 28 </w:t>
      </w:r>
      <w:r w:rsidR="002A1479">
        <w:rPr>
          <w:i/>
          <w:iCs/>
        </w:rPr>
        <w:t xml:space="preserve">Texas Law and Politics </w:t>
      </w:r>
      <w:r w:rsidR="002A1479">
        <w:t xml:space="preserve">350 (2024); Kurt Lash, “The Meaning and Ambiguity of Section Three of the Fourteenth Amendment,” 47 </w:t>
      </w:r>
      <w:r w:rsidR="002A1479">
        <w:rPr>
          <w:i/>
          <w:iCs/>
        </w:rPr>
        <w:t>Harvard Journal of Law and Public Policy ___ (2024).</w:t>
      </w:r>
    </w:p>
  </w:footnote>
  <w:footnote w:id="10">
    <w:p w14:paraId="59E31CD0" w14:textId="55255E5F" w:rsidR="00373DB1" w:rsidRPr="00373DB1" w:rsidRDefault="00373DB1">
      <w:pPr>
        <w:pStyle w:val="FootnoteText"/>
      </w:pPr>
      <w:r>
        <w:rPr>
          <w:rStyle w:val="FootnoteReference"/>
        </w:rPr>
        <w:footnoteRef/>
      </w:r>
      <w:r>
        <w:t xml:space="preserve"> The arguments for the conclusions developed in this paragraph are set out in Mark A. Graber, “Section Three of the Fourteenth Amendment: Insurrection,” ___ </w:t>
      </w:r>
      <w:r>
        <w:rPr>
          <w:i/>
          <w:iCs/>
        </w:rPr>
        <w:t xml:space="preserve">William and Mary Bill of Rights Journal </w:t>
      </w:r>
      <w:r>
        <w:t>___ (2024).</w:t>
      </w:r>
    </w:p>
  </w:footnote>
  <w:footnote w:id="11">
    <w:p w14:paraId="1A2C2E48" w14:textId="3EF09828" w:rsidR="009C3AC5" w:rsidRPr="00373DB1" w:rsidRDefault="009C3AC5" w:rsidP="00373DB1">
      <w:pPr>
        <w:pStyle w:val="Footnote"/>
        <w:ind w:firstLine="0"/>
        <w:jc w:val="left"/>
        <w:rPr>
          <w:rFonts w:cs="Times New Roman"/>
          <w:color w:val="000000"/>
          <w:szCs w:val="20"/>
        </w:rPr>
      </w:pPr>
      <w:r>
        <w:rPr>
          <w:rStyle w:val="FootnoteReference"/>
        </w:rPr>
        <w:footnoteRef/>
      </w:r>
      <w:r>
        <w:t xml:space="preserve"> </w:t>
      </w:r>
      <w:r w:rsidR="00373DB1" w:rsidRPr="00373DB1">
        <w:rPr>
          <w:rFonts w:cs="Times New Roman"/>
          <w:color w:val="000000"/>
          <w:szCs w:val="20"/>
        </w:rPr>
        <w:t>See</w:t>
      </w:r>
      <w:r w:rsidR="00373DB1">
        <w:rPr>
          <w:rFonts w:cs="Times New Roman"/>
          <w:i/>
          <w:iCs/>
          <w:color w:val="000000"/>
          <w:szCs w:val="20"/>
        </w:rPr>
        <w:t xml:space="preserve"> </w:t>
      </w:r>
      <w:r w:rsidR="00373DB1" w:rsidRPr="00373DB1">
        <w:rPr>
          <w:rFonts w:cs="Times New Roman"/>
          <w:i/>
          <w:iCs/>
          <w:color w:val="000000"/>
          <w:szCs w:val="20"/>
        </w:rPr>
        <w:t>Anderson v. Griswold</w:t>
      </w:r>
      <w:r w:rsidR="00373DB1">
        <w:rPr>
          <w:rFonts w:cs="Times New Roman"/>
          <w:color w:val="000000"/>
          <w:szCs w:val="20"/>
        </w:rPr>
        <w:t xml:space="preserve">, 543 P.3d 283, 342 (Colo. 2023), </w:t>
      </w:r>
      <w:proofErr w:type="spellStart"/>
      <w:r w:rsidR="00373DB1">
        <w:rPr>
          <w:rFonts w:cs="Times New Roman"/>
          <w:i/>
          <w:iCs/>
          <w:color w:val="000000"/>
          <w:szCs w:val="20"/>
        </w:rPr>
        <w:t>rev’d</w:t>
      </w:r>
      <w:proofErr w:type="spellEnd"/>
      <w:r w:rsidR="00373DB1">
        <w:rPr>
          <w:rFonts w:cs="Times New Roman"/>
          <w:color w:val="000000"/>
          <w:szCs w:val="20"/>
        </w:rPr>
        <w:t xml:space="preserve">, 601 U.S. 100 (2024) </w:t>
      </w:r>
      <w:r w:rsidR="00373DB1" w:rsidRPr="00373DB1">
        <w:rPr>
          <w:rFonts w:cs="Times New Roman"/>
          <w:i/>
          <w:iCs/>
          <w:color w:val="000000"/>
          <w:szCs w:val="20"/>
        </w:rPr>
        <w:t>Anderson v. Trump</w:t>
      </w:r>
      <w:r w:rsidR="00373DB1">
        <w:rPr>
          <w:rFonts w:cs="Times New Roman"/>
          <w:color w:val="000000"/>
          <w:szCs w:val="20"/>
        </w:rPr>
        <w:t xml:space="preserve">, 2024 COEL 000013, 2024 Ill. Cir. LEXIS 1, at *22–23 (Ill. Cir. Ct. Feb. 28, 2024); ); </w:t>
      </w:r>
      <w:r w:rsidR="00373DB1">
        <w:rPr>
          <w:rFonts w:cs="Times New Roman"/>
          <w:iCs/>
          <w:color w:val="000000"/>
          <w:szCs w:val="20"/>
        </w:rPr>
        <w:t>Ruling of the Secretary of State, ME 32</w:t>
      </w:r>
      <w:r w:rsidR="00373DB1">
        <w:rPr>
          <w:rFonts w:cs="Times New Roman"/>
          <w:color w:val="000000"/>
          <w:szCs w:val="20"/>
        </w:rPr>
        <w:t>–</w:t>
      </w:r>
      <w:r w:rsidR="00373DB1">
        <w:rPr>
          <w:rFonts w:cs="Times New Roman"/>
          <w:iCs/>
          <w:color w:val="000000"/>
          <w:szCs w:val="20"/>
        </w:rPr>
        <w:t>33</w:t>
      </w:r>
      <w:r w:rsidR="00373DB1">
        <w:rPr>
          <w:rFonts w:cs="Times New Roman"/>
          <w:color w:val="000000"/>
          <w:szCs w:val="20"/>
        </w:rPr>
        <w:t xml:space="preserve"> (Dec. 28, 2023), </w:t>
      </w:r>
      <w:hyperlink r:id="rId1" w:history="1">
        <w:r w:rsidR="00373DB1">
          <w:rPr>
            <w:rStyle w:val="Hyperlink"/>
            <w:rFonts w:cs="Times New Roman"/>
            <w:color w:val="000000"/>
            <w:szCs w:val="20"/>
          </w:rPr>
          <w:t>https://www.maine.gov/sos/news/2023/Decision%20in%20Challenge%20to%20Trump%20Presidential%20Primary%20Petitions.pdf</w:t>
        </w:r>
      </w:hyperlink>
      <w:r w:rsidR="00373DB1">
        <w:rPr>
          <w:rFonts w:cs="Times New Roman"/>
          <w:color w:val="000000"/>
          <w:szCs w:val="20"/>
        </w:rPr>
        <w:t xml:space="preserve"> [</w:t>
      </w:r>
      <w:hyperlink r:id="rId2" w:history="1">
        <w:r w:rsidR="00373DB1" w:rsidRPr="00026CBB">
          <w:rPr>
            <w:rStyle w:val="Hyperlink"/>
            <w:rFonts w:cs="Times New Roman"/>
            <w:szCs w:val="20"/>
          </w:rPr>
          <w:t>https://perma.cc/S8GC-HZNF</w:t>
        </w:r>
      </w:hyperlink>
      <w:r w:rsidR="00373DB1">
        <w:rPr>
          <w:rFonts w:cs="Times New Roman"/>
          <w:color w:val="000000"/>
          <w:szCs w:val="20"/>
        </w:rPr>
        <w:t>];</w:t>
      </w:r>
    </w:p>
  </w:footnote>
  <w:footnote w:id="12">
    <w:p w14:paraId="744CC9AB" w14:textId="4A84046E" w:rsidR="009C3AC5" w:rsidRPr="004A41B3" w:rsidRDefault="009C3AC5" w:rsidP="004A41B3">
      <w:pPr>
        <w:pStyle w:val="Footnote"/>
        <w:ind w:firstLine="0"/>
        <w:jc w:val="left"/>
        <w:rPr>
          <w:rFonts w:cs="Times New Roman"/>
          <w:color w:val="000000"/>
          <w:szCs w:val="20"/>
        </w:rPr>
      </w:pPr>
      <w:r>
        <w:rPr>
          <w:rStyle w:val="FootnoteReference"/>
        </w:rPr>
        <w:footnoteRef/>
      </w:r>
      <w:r>
        <w:t xml:space="preserve"> </w:t>
      </w:r>
      <w:r w:rsidR="00373DB1" w:rsidRPr="00373DB1">
        <w:rPr>
          <w:rFonts w:cs="Times New Roman"/>
          <w:color w:val="000000"/>
          <w:szCs w:val="20"/>
        </w:rPr>
        <w:t>See</w:t>
      </w:r>
      <w:r w:rsidR="00373DB1">
        <w:rPr>
          <w:rFonts w:cs="Times New Roman"/>
          <w:i/>
          <w:iCs/>
          <w:color w:val="000000"/>
          <w:szCs w:val="20"/>
        </w:rPr>
        <w:t xml:space="preserve"> </w:t>
      </w:r>
      <w:r w:rsidR="00373DB1" w:rsidRPr="00373DB1">
        <w:rPr>
          <w:rFonts w:cs="Times New Roman"/>
          <w:i/>
          <w:iCs/>
          <w:color w:val="000000"/>
          <w:szCs w:val="20"/>
        </w:rPr>
        <w:t>Anderson v. Griswold</w:t>
      </w:r>
      <w:r w:rsidR="00373DB1">
        <w:rPr>
          <w:rFonts w:cs="Times New Roman"/>
          <w:color w:val="000000"/>
          <w:szCs w:val="20"/>
        </w:rPr>
        <w:t xml:space="preserve">, 543 P.3d 283, 342 (Colo. 2023), </w:t>
      </w:r>
      <w:proofErr w:type="spellStart"/>
      <w:r w:rsidR="00373DB1">
        <w:rPr>
          <w:rFonts w:cs="Times New Roman"/>
          <w:i/>
          <w:iCs/>
          <w:color w:val="000000"/>
          <w:szCs w:val="20"/>
        </w:rPr>
        <w:t>rev’d</w:t>
      </w:r>
      <w:proofErr w:type="spellEnd"/>
      <w:r w:rsidR="00373DB1">
        <w:rPr>
          <w:rFonts w:cs="Times New Roman"/>
          <w:color w:val="000000"/>
          <w:szCs w:val="20"/>
        </w:rPr>
        <w:t xml:space="preserve">, 601 U.S. 100 (2024) </w:t>
      </w:r>
      <w:r w:rsidR="00373DB1" w:rsidRPr="00373DB1">
        <w:rPr>
          <w:rFonts w:cs="Times New Roman"/>
          <w:i/>
          <w:iCs/>
          <w:color w:val="000000"/>
          <w:szCs w:val="20"/>
        </w:rPr>
        <w:t>Anderson v. Trump</w:t>
      </w:r>
      <w:r w:rsidR="00373DB1">
        <w:rPr>
          <w:rFonts w:cs="Times New Roman"/>
          <w:color w:val="000000"/>
          <w:szCs w:val="20"/>
        </w:rPr>
        <w:t xml:space="preserve">, 2024 COEL 000013, 2024 Ill. Cir. LEXIS 1, at *22–23 (Ill. Cir. Ct. Feb. 28, 2024); ); </w:t>
      </w:r>
      <w:r w:rsidR="00373DB1">
        <w:rPr>
          <w:rFonts w:cs="Times New Roman"/>
          <w:iCs/>
          <w:color w:val="000000"/>
          <w:szCs w:val="20"/>
        </w:rPr>
        <w:t>Ruling of the Secretary of State, ME 32</w:t>
      </w:r>
      <w:r w:rsidR="00373DB1">
        <w:rPr>
          <w:rFonts w:cs="Times New Roman"/>
          <w:color w:val="000000"/>
          <w:szCs w:val="20"/>
        </w:rPr>
        <w:t>–</w:t>
      </w:r>
      <w:r w:rsidR="00373DB1">
        <w:rPr>
          <w:rFonts w:cs="Times New Roman"/>
          <w:iCs/>
          <w:color w:val="000000"/>
          <w:szCs w:val="20"/>
        </w:rPr>
        <w:t>33</w:t>
      </w:r>
      <w:r w:rsidR="00373DB1">
        <w:rPr>
          <w:rFonts w:cs="Times New Roman"/>
          <w:color w:val="000000"/>
          <w:szCs w:val="20"/>
        </w:rPr>
        <w:t xml:space="preserve"> (Dec. 28, 2023), </w:t>
      </w:r>
      <w:hyperlink r:id="rId3" w:history="1">
        <w:r w:rsidR="00373DB1">
          <w:rPr>
            <w:rStyle w:val="Hyperlink"/>
            <w:rFonts w:cs="Times New Roman"/>
            <w:color w:val="000000"/>
            <w:szCs w:val="20"/>
          </w:rPr>
          <w:t>https://www.maine.gov/sos/news/2023/Decision%20in%20Challenge%20to%20Trump%20Presidential%20Primary%20Petitions.pdf</w:t>
        </w:r>
      </w:hyperlink>
      <w:r w:rsidR="00373DB1">
        <w:rPr>
          <w:rFonts w:cs="Times New Roman"/>
          <w:color w:val="000000"/>
          <w:szCs w:val="20"/>
        </w:rPr>
        <w:t xml:space="preserve"> [</w:t>
      </w:r>
      <w:hyperlink r:id="rId4" w:history="1">
        <w:r w:rsidR="00373DB1" w:rsidRPr="00026CBB">
          <w:rPr>
            <w:rStyle w:val="Hyperlink"/>
            <w:rFonts w:cs="Times New Roman"/>
            <w:szCs w:val="20"/>
          </w:rPr>
          <w:t>https://perma.cc/S8GC-HZNF</w:t>
        </w:r>
      </w:hyperlink>
      <w:r w:rsidR="00373DB1">
        <w:rPr>
          <w:rFonts w:cs="Times New Roman"/>
          <w:color w:val="000000"/>
          <w:szCs w:val="20"/>
        </w:rPr>
        <w:t>];</w:t>
      </w:r>
    </w:p>
  </w:footnote>
  <w:footnote w:id="13">
    <w:p w14:paraId="054C5E3C" w14:textId="56D9A741" w:rsidR="004A41B3" w:rsidRDefault="004A41B3">
      <w:pPr>
        <w:pStyle w:val="FootnoteText"/>
      </w:pPr>
      <w:r>
        <w:rPr>
          <w:rStyle w:val="FootnoteReference"/>
        </w:rPr>
        <w:footnoteRef/>
      </w:r>
      <w:r>
        <w:t xml:space="preserve"> </w:t>
      </w:r>
    </w:p>
  </w:footnote>
  <w:footnote w:id="14">
    <w:p w14:paraId="5042B532" w14:textId="448AD828" w:rsidR="004A41B3" w:rsidRPr="00A53425" w:rsidRDefault="004A41B3" w:rsidP="00A53425">
      <w:pPr>
        <w:pStyle w:val="FootnoteText"/>
      </w:pPr>
      <w:r w:rsidRPr="00A53425">
        <w:rPr>
          <w:rStyle w:val="FootnoteReference"/>
        </w:rPr>
        <w:footnoteRef/>
      </w:r>
      <w:r w:rsidRPr="00A53425">
        <w:t xml:space="preserve"> </w:t>
      </w:r>
    </w:p>
  </w:footnote>
  <w:footnote w:id="15">
    <w:p w14:paraId="283E639C" w14:textId="5ABF19DE" w:rsidR="004A41B3" w:rsidRPr="00A53425" w:rsidRDefault="004A41B3" w:rsidP="00A53425">
      <w:pPr>
        <w:pStyle w:val="FootnoteText"/>
      </w:pPr>
      <w:r w:rsidRPr="00A53425">
        <w:rPr>
          <w:rStyle w:val="FootnoteReference"/>
        </w:rPr>
        <w:footnoteRef/>
      </w:r>
      <w:r w:rsidRPr="00A53425">
        <w:t xml:space="preserve"> </w:t>
      </w:r>
    </w:p>
  </w:footnote>
  <w:footnote w:id="16">
    <w:p w14:paraId="60222809" w14:textId="6940F553" w:rsidR="00A53425" w:rsidRPr="00A53425" w:rsidRDefault="00A53425" w:rsidP="00A53425">
      <w:pPr>
        <w:pStyle w:val="FootnoteText"/>
      </w:pPr>
      <w:r w:rsidRPr="00A53425">
        <w:rPr>
          <w:rStyle w:val="FootnoteReference"/>
        </w:rPr>
        <w:footnoteRef/>
      </w:r>
      <w:r w:rsidRPr="00A53425">
        <w:rPr>
          <w:i/>
          <w:iCs/>
          <w:color w:val="000000" w:themeColor="text1"/>
        </w:rPr>
        <w:t>Anderson v. Griswold</w:t>
      </w:r>
      <w:r w:rsidRPr="00A53425">
        <w:rPr>
          <w:color w:val="000000" w:themeColor="text1"/>
        </w:rPr>
        <w:t>, 543 P.3d 283 (Colo. 2023).</w:t>
      </w:r>
      <w:r w:rsidRPr="00A53425">
        <w:t xml:space="preserve"> </w:t>
      </w:r>
    </w:p>
  </w:footnote>
  <w:footnote w:id="17">
    <w:p w14:paraId="20EA4FFA" w14:textId="4316B9B9" w:rsidR="004A41B3" w:rsidRPr="00A53425" w:rsidRDefault="004A41B3" w:rsidP="00A53425">
      <w:pPr>
        <w:pStyle w:val="FootNote0"/>
        <w:spacing w:before="0" w:line="240" w:lineRule="auto"/>
        <w:jc w:val="left"/>
        <w:rPr>
          <w:sz w:val="20"/>
        </w:rPr>
      </w:pPr>
      <w:r w:rsidRPr="00A53425">
        <w:rPr>
          <w:rStyle w:val="FootnoteReference"/>
          <w:sz w:val="20"/>
        </w:rPr>
        <w:footnoteRef/>
      </w:r>
      <w:r w:rsidR="00A53425">
        <w:rPr>
          <w:color w:val="000000" w:themeColor="text1"/>
          <w:sz w:val="20"/>
        </w:rPr>
        <w:t xml:space="preserve"> </w:t>
      </w:r>
      <w:r w:rsidR="00A53425" w:rsidRPr="00A53425">
        <w:rPr>
          <w:i/>
          <w:iCs/>
          <w:color w:val="000000" w:themeColor="text1"/>
          <w:sz w:val="20"/>
        </w:rPr>
        <w:t>State of Maine Secretary of State, Ruling of the Secretary of State</w:t>
      </w:r>
      <w:r w:rsidR="00A53425">
        <w:rPr>
          <w:color w:val="000000" w:themeColor="text1"/>
          <w:sz w:val="20"/>
        </w:rPr>
        <w:t xml:space="preserve"> (</w:t>
      </w:r>
      <w:r w:rsidR="00A53425" w:rsidRPr="00A53425">
        <w:rPr>
          <w:color w:val="000000" w:themeColor="text1"/>
          <w:sz w:val="20"/>
        </w:rPr>
        <w:t xml:space="preserve">Dec. 28, 2023), https://www.maine.gov/sos/news/2023/Decision%20in%20Challenge%20to%20Trump%20Presidential%20Primary%20Petitions.pdf; </w:t>
      </w:r>
      <w:r w:rsidR="00A53425" w:rsidRPr="00A53425">
        <w:rPr>
          <w:i/>
          <w:color w:val="000000" w:themeColor="text1"/>
          <w:sz w:val="20"/>
        </w:rPr>
        <w:t>see also</w:t>
      </w:r>
      <w:r w:rsidR="00A53425" w:rsidRPr="00A53425">
        <w:rPr>
          <w:smallCaps/>
          <w:color w:val="000000" w:themeColor="text1"/>
          <w:sz w:val="20"/>
        </w:rPr>
        <w:t xml:space="preserve"> H.R. Rep. No.</w:t>
      </w:r>
      <w:r w:rsidR="00A53425" w:rsidRPr="00A53425">
        <w:rPr>
          <w:color w:val="000000" w:themeColor="text1"/>
          <w:sz w:val="20"/>
        </w:rPr>
        <w:t xml:space="preserve"> 117-663 (2022)</w:t>
      </w:r>
      <w:hyperlink w:history="1"/>
      <w:r w:rsidR="00A53425" w:rsidRPr="00A53425">
        <w:rPr>
          <w:color w:val="000000" w:themeColor="text1"/>
          <w:sz w:val="20"/>
        </w:rPr>
        <w:t>.</w:t>
      </w:r>
      <w:r w:rsidRPr="00A53425">
        <w:rPr>
          <w:sz w:val="20"/>
        </w:rPr>
        <w:t xml:space="preserve"> </w:t>
      </w:r>
    </w:p>
  </w:footnote>
  <w:footnote w:id="18">
    <w:p w14:paraId="250727A7" w14:textId="006EBE21" w:rsidR="004A41B3" w:rsidRPr="00A53425" w:rsidRDefault="004A41B3" w:rsidP="00A53425">
      <w:pPr>
        <w:pStyle w:val="FootnoteText"/>
      </w:pPr>
      <w:r w:rsidRPr="00A53425">
        <w:rPr>
          <w:rStyle w:val="FootnoteReference"/>
        </w:rPr>
        <w:footnoteRef/>
      </w:r>
      <w:r w:rsidRPr="00A53425">
        <w:t xml:space="preserve"> </w:t>
      </w:r>
      <w:r w:rsidR="00A53425" w:rsidRPr="00A53425">
        <w:rPr>
          <w:i/>
          <w:iCs/>
          <w:color w:val="000000" w:themeColor="text1"/>
        </w:rPr>
        <w:t>Anderson v. Trump</w:t>
      </w:r>
      <w:r w:rsidR="00A53425" w:rsidRPr="00A53425">
        <w:rPr>
          <w:color w:val="000000" w:themeColor="text1"/>
        </w:rPr>
        <w:t>, No. 2024 COEL 000013, 2024 Ill. Cir. LEXIS 1, at *36 (Ill. Cir. Ct. Feb. 28, 2024).</w:t>
      </w:r>
    </w:p>
  </w:footnote>
  <w:footnote w:id="19">
    <w:p w14:paraId="421F63ED" w14:textId="79996D0A" w:rsidR="00C75EAC" w:rsidRPr="00C75EAC" w:rsidRDefault="00C75EAC">
      <w:pPr>
        <w:pStyle w:val="FootnoteText"/>
      </w:pPr>
      <w:r>
        <w:rPr>
          <w:rStyle w:val="FootnoteReference"/>
        </w:rPr>
        <w:footnoteRef/>
      </w:r>
      <w:r>
        <w:t xml:space="preserve"> Jodi Kantor and Adam Liptak</w:t>
      </w:r>
      <w:r>
        <w:rPr>
          <w:i/>
          <w:iCs/>
        </w:rPr>
        <w:t>,</w:t>
      </w:r>
      <w:r>
        <w:t xml:space="preserve"> “How Roberts Shaped Trump’s Supreme Court Winning Streak,” </w:t>
      </w:r>
      <w:r>
        <w:rPr>
          <w:i/>
          <w:iCs/>
        </w:rPr>
        <w:t>The New York Times</w:t>
      </w:r>
      <w:r>
        <w:t>, September 15, 2024.</w:t>
      </w:r>
    </w:p>
  </w:footnote>
  <w:footnote w:id="20">
    <w:p w14:paraId="2D7F9FBE" w14:textId="28676B22" w:rsidR="00C75EAC" w:rsidRDefault="00C75EAC">
      <w:pPr>
        <w:pStyle w:val="FootnoteText"/>
      </w:pPr>
      <w:r>
        <w:rPr>
          <w:rStyle w:val="FootnoteReference"/>
        </w:rPr>
        <w:footnoteRef/>
      </w:r>
      <w:r>
        <w:t xml:space="preserve"> Jodi Kantor and Adam Liptak</w:t>
      </w:r>
      <w:r>
        <w:rPr>
          <w:i/>
          <w:iCs/>
        </w:rPr>
        <w:t>,</w:t>
      </w:r>
      <w:r>
        <w:t xml:space="preserve"> “How Roberts Shaped Trump’s Supreme Court Winning Streak,” </w:t>
      </w:r>
      <w:r>
        <w:rPr>
          <w:i/>
          <w:iCs/>
        </w:rPr>
        <w:t>The New York Times</w:t>
      </w:r>
      <w:r>
        <w:t>, September 15, 2024.</w:t>
      </w:r>
    </w:p>
  </w:footnote>
  <w:footnote w:id="21">
    <w:p w14:paraId="0EBF6766" w14:textId="77777777" w:rsidR="00C75EAC" w:rsidRDefault="00C75EAC" w:rsidP="00C75EAC">
      <w:pPr>
        <w:pBdr>
          <w:top w:val="nil"/>
          <w:left w:val="nil"/>
          <w:bottom w:val="nil"/>
          <w:right w:val="nil"/>
          <w:between w:val="nil"/>
        </w:pBdr>
        <w:spacing w:after="0" w:line="240" w:lineRule="auto"/>
        <w:rPr>
          <w:rFonts w:eastAsia="Times New Roman" w:cs="Times New Roman"/>
          <w:color w:val="000000"/>
        </w:rPr>
      </w:pPr>
      <w:r>
        <w:rPr>
          <w:rStyle w:val="FootnoteReference"/>
        </w:rPr>
        <w:footnoteRef/>
      </w:r>
      <w:r>
        <w:rPr>
          <w:rFonts w:eastAsia="Times New Roman" w:cs="Times New Roman"/>
          <w:color w:val="000000"/>
        </w:rPr>
        <w:t xml:space="preserve"> </w:t>
      </w:r>
      <w:r>
        <w:rPr>
          <w:rFonts w:eastAsia="Times New Roman" w:cs="Times New Roman"/>
          <w:i/>
          <w:color w:val="000000"/>
        </w:rPr>
        <w:t>Id.</w:t>
      </w:r>
      <w:r>
        <w:rPr>
          <w:rFonts w:eastAsia="Times New Roman" w:cs="Times New Roman"/>
          <w:color w:val="000000"/>
        </w:rPr>
        <w:t xml:space="preserve"> at 109 (majority opinion).</w:t>
      </w:r>
    </w:p>
  </w:footnote>
  <w:footnote w:id="22">
    <w:p w14:paraId="5FEE7D7C" w14:textId="77777777" w:rsidR="00C75EAC" w:rsidRDefault="00C75EAC" w:rsidP="00C75EAC">
      <w:pPr>
        <w:pBdr>
          <w:top w:val="nil"/>
          <w:left w:val="nil"/>
          <w:bottom w:val="nil"/>
          <w:right w:val="nil"/>
          <w:between w:val="nil"/>
        </w:pBdr>
        <w:spacing w:after="0" w:line="240" w:lineRule="auto"/>
        <w:rPr>
          <w:rFonts w:eastAsia="Times New Roman" w:cs="Times New Roman"/>
          <w:i/>
          <w:color w:val="000000"/>
        </w:rPr>
      </w:pPr>
      <w:r>
        <w:rPr>
          <w:rStyle w:val="FootnoteReference"/>
        </w:rPr>
        <w:footnoteRef/>
      </w:r>
      <w:r>
        <w:rPr>
          <w:rFonts w:eastAsia="Times New Roman" w:cs="Times New Roman"/>
          <w:color w:val="000000"/>
        </w:rPr>
        <w:t xml:space="preserve"> </w:t>
      </w:r>
      <w:r>
        <w:rPr>
          <w:rFonts w:eastAsia="Times New Roman" w:cs="Times New Roman"/>
          <w:i/>
          <w:iCs/>
          <w:color w:val="000000"/>
        </w:rPr>
        <w:t xml:space="preserve">Id. </w:t>
      </w:r>
      <w:r>
        <w:rPr>
          <w:rFonts w:eastAsia="Times New Roman" w:cs="Times New Roman"/>
          <w:color w:val="000000"/>
        </w:rPr>
        <w:t xml:space="preserve">at 108. </w:t>
      </w:r>
    </w:p>
  </w:footnote>
  <w:footnote w:id="23">
    <w:p w14:paraId="021081C6" w14:textId="4F10B33C" w:rsidR="00C32526" w:rsidRDefault="00C32526" w:rsidP="00C32526">
      <w:pPr>
        <w:pBdr>
          <w:top w:val="nil"/>
          <w:left w:val="nil"/>
          <w:bottom w:val="nil"/>
          <w:right w:val="nil"/>
          <w:between w:val="nil"/>
        </w:pBdr>
        <w:spacing w:after="0" w:line="240" w:lineRule="auto"/>
        <w:rPr>
          <w:rFonts w:eastAsia="Times New Roman" w:cs="Times New Roman"/>
          <w:color w:val="000000"/>
        </w:rPr>
      </w:pPr>
      <w:r>
        <w:rPr>
          <w:rStyle w:val="FootnoteReference"/>
        </w:rPr>
        <w:footnoteRef/>
      </w:r>
      <w:r>
        <w:rPr>
          <w:rFonts w:eastAsia="Times New Roman" w:cs="Times New Roman"/>
          <w:color w:val="000000"/>
        </w:rPr>
        <w:t xml:space="preserve"> </w:t>
      </w:r>
      <w:r>
        <w:rPr>
          <w:rFonts w:eastAsia="Times New Roman" w:cs="Times New Roman"/>
          <w:i/>
          <w:color w:val="000000"/>
        </w:rPr>
        <w:t>Anderson</w:t>
      </w:r>
      <w:r>
        <w:rPr>
          <w:rFonts w:eastAsia="Times New Roman" w:cs="Times New Roman"/>
          <w:color w:val="000000"/>
        </w:rPr>
        <w:t xml:space="preserve">, at </w:t>
      </w:r>
      <w:r w:rsidR="00A54C39">
        <w:rPr>
          <w:rFonts w:eastAsia="Times New Roman" w:cs="Times New Roman"/>
          <w:color w:val="000000"/>
        </w:rPr>
        <w:t>111</w:t>
      </w:r>
      <w:r>
        <w:rPr>
          <w:rFonts w:eastAsia="Times New Roman" w:cs="Times New Roman"/>
          <w:color w:val="000000"/>
        </w:rPr>
        <w:t>.</w:t>
      </w:r>
    </w:p>
  </w:footnote>
  <w:footnote w:id="24">
    <w:p w14:paraId="3FF087F1" w14:textId="7B0E333B" w:rsidR="00A54C39" w:rsidRPr="00A54C39" w:rsidRDefault="00A54C39">
      <w:pPr>
        <w:pStyle w:val="FootnoteText"/>
      </w:pPr>
      <w:r>
        <w:rPr>
          <w:rStyle w:val="FootnoteReference"/>
        </w:rPr>
        <w:footnoteRef/>
      </w:r>
      <w:r>
        <w:t xml:space="preserve"> </w:t>
      </w:r>
      <w:r>
        <w:rPr>
          <w:i/>
          <w:iCs/>
        </w:rPr>
        <w:t>Trump v. Anderson</w:t>
      </w:r>
      <w:r>
        <w:t>, at 111.</w:t>
      </w:r>
    </w:p>
  </w:footnote>
  <w:footnote w:id="25">
    <w:p w14:paraId="0F3B595D" w14:textId="27B3EE27" w:rsidR="00C32526" w:rsidRDefault="00C32526" w:rsidP="00C32526">
      <w:pPr>
        <w:pBdr>
          <w:top w:val="nil"/>
          <w:left w:val="nil"/>
          <w:bottom w:val="nil"/>
          <w:right w:val="nil"/>
          <w:between w:val="nil"/>
        </w:pBdr>
        <w:spacing w:after="0" w:line="240" w:lineRule="auto"/>
        <w:rPr>
          <w:rFonts w:eastAsia="Times New Roman" w:cs="Times New Roman"/>
          <w:color w:val="000000"/>
        </w:rPr>
      </w:pPr>
      <w:r>
        <w:rPr>
          <w:rStyle w:val="FootnoteReference"/>
        </w:rPr>
        <w:footnoteRef/>
      </w:r>
      <w:r>
        <w:rPr>
          <w:rFonts w:eastAsia="Times New Roman" w:cs="Times New Roman"/>
          <w:color w:val="000000"/>
        </w:rPr>
        <w:t xml:space="preserve"> </w:t>
      </w:r>
      <w:r w:rsidR="00FF1286">
        <w:rPr>
          <w:rFonts w:eastAsia="Times New Roman" w:cs="Times New Roman"/>
          <w:i/>
          <w:iCs/>
          <w:color w:val="000000"/>
        </w:rPr>
        <w:t xml:space="preserve">Trump v. </w:t>
      </w:r>
      <w:r>
        <w:rPr>
          <w:rFonts w:eastAsia="Times New Roman" w:cs="Times New Roman"/>
          <w:i/>
          <w:color w:val="000000"/>
        </w:rPr>
        <w:t>Anderson</w:t>
      </w:r>
      <w:r>
        <w:rPr>
          <w:rFonts w:eastAsia="Times New Roman" w:cs="Times New Roman"/>
          <w:color w:val="000000"/>
        </w:rPr>
        <w:t>, 601 U.S. at 110 (emphasis added).</w:t>
      </w:r>
      <w:r w:rsidR="00A54C39">
        <w:rPr>
          <w:rFonts w:eastAsia="Times New Roman" w:cs="Times New Roman"/>
          <w:color w:val="000000"/>
        </w:rPr>
        <w:t xml:space="preserve"> This sentence was edited in ways that would earn an undergraduate an F. What </w:t>
      </w:r>
      <w:r w:rsidR="00A54C39" w:rsidRPr="00BF31C0">
        <w:rPr>
          <w:rFonts w:eastAsia="Times New Roman" w:cs="Times New Roman"/>
        </w:rPr>
        <w:t xml:space="preserve">Trumbull actually </w:t>
      </w:r>
      <w:proofErr w:type="gramStart"/>
      <w:r w:rsidR="00A54C39" w:rsidRPr="00BF31C0">
        <w:rPr>
          <w:rFonts w:eastAsia="Times New Roman" w:cs="Times New Roman"/>
        </w:rPr>
        <w:t>said</w:t>
      </w:r>
      <w:proofErr w:type="gramEnd"/>
      <w:r w:rsidR="00A54C39" w:rsidRPr="00BF31C0">
        <w:rPr>
          <w:rFonts w:eastAsia="Times New Roman" w:cs="Times New Roman"/>
        </w:rPr>
        <w:t xml:space="preserve"> “</w:t>
      </w:r>
      <w:r w:rsidR="00A54C39">
        <w:rPr>
          <w:rFonts w:eastAsia="Times New Roman" w:cs="Times New Roman"/>
        </w:rPr>
        <w:t>[t]</w:t>
      </w:r>
      <w:r w:rsidR="00A54C39" w:rsidRPr="00BF31C0">
        <w:rPr>
          <w:rFonts w:eastAsia="Times New Roman" w:cs="Times New Roman"/>
        </w:rPr>
        <w:t>he Constitution provides no means for enforcing itself, and this is merely a bill to give effect to the fundamental law embraced in the Constitution.”</w:t>
      </w:r>
      <w:r w:rsidR="00A54C39">
        <w:rPr>
          <w:rFonts w:eastAsia="Times New Roman" w:cs="Times New Roman"/>
        </w:rPr>
        <w:t xml:space="preserve"> </w:t>
      </w:r>
      <w:r w:rsidR="00A54C39">
        <w:rPr>
          <w:rFonts w:eastAsia="Times New Roman" w:cs="Times New Roman"/>
          <w:i/>
          <w:color w:val="000000"/>
        </w:rPr>
        <w:t>Congressional Globe</w:t>
      </w:r>
      <w:r w:rsidR="00A54C39">
        <w:rPr>
          <w:rFonts w:eastAsia="Times New Roman" w:cs="Times New Roman"/>
          <w:color w:val="000000"/>
        </w:rPr>
        <w:t>, 41</w:t>
      </w:r>
      <w:r w:rsidR="00A54C39">
        <w:rPr>
          <w:rFonts w:eastAsia="Times New Roman" w:cs="Times New Roman"/>
          <w:color w:val="000000"/>
          <w:vertAlign w:val="superscript"/>
        </w:rPr>
        <w:t>st</w:t>
      </w:r>
      <w:r w:rsidR="00A54C39">
        <w:rPr>
          <w:rFonts w:eastAsia="Times New Roman" w:cs="Times New Roman"/>
          <w:color w:val="000000"/>
        </w:rPr>
        <w:t xml:space="preserve"> Cong., 1</w:t>
      </w:r>
      <w:r w:rsidR="00A54C39">
        <w:rPr>
          <w:rFonts w:eastAsia="Times New Roman" w:cs="Times New Roman"/>
          <w:color w:val="000000"/>
          <w:vertAlign w:val="superscript"/>
        </w:rPr>
        <w:t>st</w:t>
      </w:r>
      <w:r w:rsidR="00A54C39">
        <w:rPr>
          <w:rFonts w:eastAsia="Times New Roman" w:cs="Times New Roman"/>
          <w:color w:val="000000"/>
        </w:rPr>
        <w:t xml:space="preserve"> Sess., p. 626.</w:t>
      </w:r>
      <w:r w:rsidR="00A54C39">
        <w:rPr>
          <w:rStyle w:val="CommentReference"/>
        </w:rPr>
        <w:t xml:space="preserve"> </w:t>
      </w:r>
      <w:r w:rsidR="00A54C39">
        <w:rPr>
          <w:rStyle w:val="CommentReference"/>
        </w:rPr>
        <w:t/>
      </w:r>
    </w:p>
  </w:footnote>
  <w:footnote w:id="26">
    <w:p w14:paraId="739CD183" w14:textId="45F05935" w:rsidR="00FF1286" w:rsidRPr="00FF1286" w:rsidRDefault="00FF1286">
      <w:pPr>
        <w:pStyle w:val="FootnoteText"/>
      </w:pPr>
      <w:r>
        <w:rPr>
          <w:rStyle w:val="FootnoteReference"/>
        </w:rPr>
        <w:footnoteRef/>
      </w:r>
      <w:r>
        <w:t xml:space="preserve"> </w:t>
      </w:r>
      <w:r>
        <w:rPr>
          <w:i/>
          <w:iCs/>
        </w:rPr>
        <w:t xml:space="preserve">Trump v. </w:t>
      </w:r>
      <w:r>
        <w:rPr>
          <w:i/>
          <w:iCs/>
        </w:rPr>
        <w:t>Anderson</w:t>
      </w:r>
      <w:r>
        <w:t xml:space="preserve">, at </w:t>
      </w:r>
      <w:r>
        <w:t>115.</w:t>
      </w:r>
    </w:p>
  </w:footnote>
  <w:footnote w:id="27">
    <w:p w14:paraId="08638EB1" w14:textId="6A4E1751" w:rsidR="0044573E" w:rsidRPr="0044573E" w:rsidRDefault="0044573E">
      <w:pPr>
        <w:pStyle w:val="FootnoteText"/>
      </w:pPr>
      <w:r>
        <w:rPr>
          <w:rStyle w:val="FootnoteReference"/>
        </w:rPr>
        <w:footnoteRef/>
      </w:r>
      <w:r>
        <w:t xml:space="preserve"> </w:t>
      </w:r>
      <w:r>
        <w:rPr>
          <w:i/>
          <w:iCs/>
        </w:rPr>
        <w:t>Trump v. Anderson</w:t>
      </w:r>
      <w:r>
        <w:t>, at 117-18 (Barrett, J., concurring).</w:t>
      </w:r>
    </w:p>
  </w:footnote>
  <w:footnote w:id="28">
    <w:p w14:paraId="5EC02EE4" w14:textId="5F137D36" w:rsidR="0044573E" w:rsidRPr="0044573E" w:rsidRDefault="0044573E">
      <w:pPr>
        <w:pStyle w:val="FootnoteText"/>
      </w:pPr>
      <w:r>
        <w:rPr>
          <w:rStyle w:val="FootnoteReference"/>
        </w:rPr>
        <w:footnoteRef/>
      </w:r>
      <w:r>
        <w:t xml:space="preserve"> </w:t>
      </w:r>
      <w:r>
        <w:rPr>
          <w:i/>
          <w:iCs/>
        </w:rPr>
        <w:t>Trump v. Anderson</w:t>
      </w:r>
      <w:r>
        <w:t>, at 118 (Barrett, J., concurring).</w:t>
      </w:r>
    </w:p>
  </w:footnote>
  <w:footnote w:id="29">
    <w:p w14:paraId="11E9C722" w14:textId="6F665ED4" w:rsidR="00771F4D" w:rsidRPr="00771F4D" w:rsidRDefault="00771F4D">
      <w:pPr>
        <w:pStyle w:val="FootnoteText"/>
      </w:pPr>
      <w:r>
        <w:rPr>
          <w:rStyle w:val="FootnoteReference"/>
        </w:rPr>
        <w:footnoteRef/>
      </w:r>
      <w:r>
        <w:t xml:space="preserve"> </w:t>
      </w:r>
      <w:r>
        <w:rPr>
          <w:i/>
          <w:iCs/>
        </w:rPr>
        <w:t>Trump v. Anderson</w:t>
      </w:r>
      <w:r>
        <w:t>, at 119 (Sotomayor, Kagan, and Jackson, JJ., concurring).</w:t>
      </w:r>
    </w:p>
  </w:footnote>
  <w:footnote w:id="30">
    <w:p w14:paraId="365ED320" w14:textId="21634189" w:rsidR="00771F4D" w:rsidRPr="00771F4D" w:rsidRDefault="00771F4D">
      <w:pPr>
        <w:pStyle w:val="FootnoteText"/>
      </w:pPr>
      <w:r>
        <w:rPr>
          <w:rStyle w:val="FootnoteReference"/>
        </w:rPr>
        <w:footnoteRef/>
      </w:r>
      <w:r>
        <w:t xml:space="preserve"> </w:t>
      </w:r>
      <w:r>
        <w:rPr>
          <w:i/>
          <w:iCs/>
        </w:rPr>
        <w:t>Trump v. Amderson</w:t>
      </w:r>
      <w:r>
        <w:t xml:space="preserve">, at 121 </w:t>
      </w:r>
      <w:r>
        <w:t>(Sotomayor, Kagan, and Jackson, JJ., concurring).</w:t>
      </w:r>
    </w:p>
  </w:footnote>
  <w:footnote w:id="31">
    <w:p w14:paraId="5F62C18F" w14:textId="0C8D764F" w:rsidR="00771F4D" w:rsidRDefault="00771F4D">
      <w:pPr>
        <w:pStyle w:val="FootnoteText"/>
      </w:pPr>
      <w:r>
        <w:rPr>
          <w:rStyle w:val="FootnoteReference"/>
        </w:rPr>
        <w:footnoteRef/>
      </w:r>
      <w:r>
        <w:t xml:space="preserve"> </w:t>
      </w:r>
      <w:r>
        <w:rPr>
          <w:i/>
          <w:iCs/>
        </w:rPr>
        <w:t>Trump v. Amderson</w:t>
      </w:r>
      <w:r>
        <w:t>, at 121 (Sotomayor, Kagan, and Jackson, JJ., concurring).</w:t>
      </w:r>
    </w:p>
  </w:footnote>
  <w:footnote w:id="32">
    <w:p w14:paraId="59A60FB3" w14:textId="38638650" w:rsidR="00CF4871" w:rsidRDefault="00CF4871">
      <w:pPr>
        <w:pStyle w:val="FootnoteText"/>
      </w:pPr>
      <w:r>
        <w:rPr>
          <w:rStyle w:val="FootnoteReference"/>
        </w:rPr>
        <w:footnoteRef/>
      </w:r>
      <w:r>
        <w:t xml:space="preserve"> </w:t>
      </w:r>
      <w:r>
        <w:rPr>
          <w:i/>
          <w:iCs/>
        </w:rPr>
        <w:t>Trump v. Amderson</w:t>
      </w:r>
      <w:r>
        <w:t>, at 12</w:t>
      </w:r>
      <w:r>
        <w:t>2</w:t>
      </w:r>
      <w:r>
        <w:t xml:space="preserve"> (Sotomayor, Kagan, and Jackson, JJ., concurring).</w:t>
      </w:r>
    </w:p>
  </w:footnote>
  <w:footnote w:id="33">
    <w:p w14:paraId="7F3F7A43" w14:textId="578FB674" w:rsidR="00086908" w:rsidRPr="009E68D4" w:rsidRDefault="00086908">
      <w:pPr>
        <w:pStyle w:val="FootnoteText"/>
      </w:pPr>
      <w:r>
        <w:rPr>
          <w:rStyle w:val="FootnoteReference"/>
        </w:rPr>
        <w:footnoteRef/>
      </w:r>
      <w:r>
        <w:t xml:space="preserve"> </w:t>
      </w:r>
      <w:r w:rsidR="009E68D4">
        <w:t xml:space="preserve">See Neil S. Siegel, “Narrow </w:t>
      </w:r>
      <w:proofErr w:type="gramStart"/>
      <w:r w:rsidR="009E68D4">
        <w:t>But</w:t>
      </w:r>
      <w:proofErr w:type="gramEnd"/>
      <w:r w:rsidR="009E68D4">
        <w:t xml:space="preserve"> Deep: The </w:t>
      </w:r>
      <w:r w:rsidR="009E68D4">
        <w:rPr>
          <w:i/>
          <w:iCs/>
        </w:rPr>
        <w:t xml:space="preserve">McCulloch </w:t>
      </w:r>
      <w:r w:rsidR="009E68D4" w:rsidRPr="009E68D4">
        <w:t>Principle: Collective Action Theory, and Section Three Enforcement,</w:t>
      </w:r>
      <w:r w:rsidR="009E68D4">
        <w:t xml:space="preserve">” 39 </w:t>
      </w:r>
      <w:r w:rsidR="009E68D4">
        <w:rPr>
          <w:i/>
          <w:iCs/>
        </w:rPr>
        <w:t>Constitutional Commentary</w:t>
      </w:r>
      <w:r w:rsidR="009E68D4">
        <w:t xml:space="preserve"> (forthcoming 2024).</w:t>
      </w:r>
      <w:r w:rsidR="009E68D4" w:rsidRPr="009E68D4">
        <w:t xml:space="preserve"> </w:t>
      </w:r>
    </w:p>
  </w:footnote>
  <w:footnote w:id="34">
    <w:p w14:paraId="57697BA7" w14:textId="210FD085" w:rsidR="00001432" w:rsidRPr="00F74F1B" w:rsidRDefault="00001432" w:rsidP="00F74F1B">
      <w:pPr>
        <w:pBdr>
          <w:top w:val="nil"/>
          <w:left w:val="nil"/>
          <w:bottom w:val="nil"/>
          <w:right w:val="nil"/>
          <w:between w:val="nil"/>
        </w:pBdr>
        <w:spacing w:after="0" w:line="240" w:lineRule="auto"/>
        <w:rPr>
          <w:rFonts w:eastAsia="Times New Roman" w:cs="Times New Roman"/>
          <w:color w:val="000000"/>
        </w:rPr>
      </w:pPr>
      <w:r>
        <w:rPr>
          <w:rStyle w:val="FootnoteReference"/>
        </w:rPr>
        <w:footnoteRef/>
      </w:r>
      <w:r w:rsidR="009E68D4">
        <w:rPr>
          <w:rFonts w:eastAsia="Times New Roman" w:cs="Times New Roman"/>
          <w:i/>
          <w:color w:val="000000"/>
        </w:rPr>
        <w:t xml:space="preserve"> </w:t>
      </w:r>
      <w:r>
        <w:rPr>
          <w:rFonts w:eastAsia="Times New Roman" w:cs="Times New Roman"/>
          <w:i/>
          <w:color w:val="000000"/>
        </w:rPr>
        <w:t>Storer v. Brown</w:t>
      </w:r>
      <w:r>
        <w:rPr>
          <w:rFonts w:eastAsia="Times New Roman" w:cs="Times New Roman"/>
          <w:color w:val="000000"/>
        </w:rPr>
        <w:t xml:space="preserve">, 415 U.S. 724 (1974); </w:t>
      </w:r>
      <w:r>
        <w:rPr>
          <w:rFonts w:eastAsia="Times New Roman" w:cs="Times New Roman"/>
          <w:i/>
          <w:color w:val="000000"/>
        </w:rPr>
        <w:t>Jenness v. Fortson</w:t>
      </w:r>
      <w:r>
        <w:rPr>
          <w:rFonts w:eastAsia="Times New Roman" w:cs="Times New Roman"/>
          <w:color w:val="000000"/>
        </w:rPr>
        <w:t>, 403 U.S. 431 (1971).</w:t>
      </w:r>
    </w:p>
  </w:footnote>
  <w:footnote w:id="35">
    <w:p w14:paraId="422B09EA" w14:textId="04D601CD" w:rsidR="009E68D4" w:rsidRDefault="009E68D4" w:rsidP="009E68D4">
      <w:pPr>
        <w:pBdr>
          <w:top w:val="nil"/>
          <w:left w:val="nil"/>
          <w:bottom w:val="nil"/>
          <w:right w:val="nil"/>
          <w:between w:val="nil"/>
        </w:pBdr>
        <w:spacing w:after="0" w:line="240" w:lineRule="auto"/>
        <w:rPr>
          <w:rFonts w:eastAsia="Times New Roman" w:cs="Times New Roman"/>
          <w:color w:val="000000"/>
        </w:rPr>
      </w:pPr>
      <w:r>
        <w:rPr>
          <w:rStyle w:val="FootnoteReference"/>
        </w:rPr>
        <w:footnoteRef/>
      </w:r>
      <w:r>
        <w:rPr>
          <w:rFonts w:eastAsia="Times New Roman" w:cs="Times New Roman"/>
          <w:color w:val="000000"/>
        </w:rPr>
        <w:t xml:space="preserve"> </w:t>
      </w:r>
      <w:r w:rsidRPr="00050CF8">
        <w:rPr>
          <w:rFonts w:eastAsia="Times New Roman" w:cs="Times New Roman"/>
          <w:iCs/>
          <w:color w:val="000000"/>
        </w:rPr>
        <w:t>Hassan v. Colorado</w:t>
      </w:r>
      <w:r>
        <w:rPr>
          <w:rFonts w:eastAsia="Times New Roman" w:cs="Times New Roman"/>
          <w:color w:val="000000"/>
        </w:rPr>
        <w:t xml:space="preserve">, 495 F. </w:t>
      </w:r>
      <w:proofErr w:type="spellStart"/>
      <w:r>
        <w:rPr>
          <w:rFonts w:eastAsia="Times New Roman" w:cs="Times New Roman"/>
          <w:color w:val="000000"/>
        </w:rPr>
        <w:t>App’x</w:t>
      </w:r>
      <w:proofErr w:type="spellEnd"/>
      <w:r>
        <w:rPr>
          <w:rFonts w:eastAsia="Times New Roman" w:cs="Times New Roman"/>
          <w:color w:val="000000"/>
        </w:rPr>
        <w:t xml:space="preserve"> 947, 948 (10</w:t>
      </w:r>
      <w:r>
        <w:rPr>
          <w:rFonts w:eastAsia="Times New Roman" w:cs="Times New Roman"/>
          <w:color w:val="000000"/>
          <w:vertAlign w:val="superscript"/>
        </w:rPr>
        <w:t>th</w:t>
      </w:r>
      <w:r>
        <w:rPr>
          <w:rFonts w:eastAsia="Times New Roman" w:cs="Times New Roman"/>
          <w:color w:val="000000"/>
        </w:rPr>
        <w:t xml:space="preserve"> Cir. 2012).</w:t>
      </w:r>
      <w:r>
        <w:rPr>
          <w:rFonts w:eastAsia="Times New Roman" w:cs="Times New Roman"/>
          <w:color w:val="000000"/>
        </w:rPr>
        <w:t xml:space="preserve">  See</w:t>
      </w:r>
      <w:r w:rsidRPr="009E68D4">
        <w:t xml:space="preserve"> </w:t>
      </w:r>
      <w:r>
        <w:t>Socialist Workers Party of Illinois v. Ogilvie, 357 F. Supp. 109 (N.D. Ill. Sept. 21, 1972)</w:t>
      </w:r>
      <w:r>
        <w:t>.</w:t>
      </w:r>
      <w:r>
        <w:rPr>
          <w:rFonts w:eastAsia="Times New Roman" w:cs="Times New Roman"/>
          <w:color w:val="000000"/>
        </w:rPr>
        <w:t xml:space="preserve"> </w:t>
      </w:r>
    </w:p>
  </w:footnote>
  <w:footnote w:id="36">
    <w:p w14:paraId="121EDBF1" w14:textId="34177E52" w:rsidR="00F74F1B" w:rsidRPr="00086908" w:rsidRDefault="00F74F1B">
      <w:pPr>
        <w:pStyle w:val="FootnoteText"/>
      </w:pPr>
      <w:r>
        <w:rPr>
          <w:rStyle w:val="FootnoteReference"/>
        </w:rPr>
        <w:footnoteRef/>
      </w:r>
      <w:r>
        <w:t xml:space="preserve"> </w:t>
      </w:r>
      <w:r w:rsidR="00086908">
        <w:t xml:space="preserve">See Samuel </w:t>
      </w:r>
      <w:proofErr w:type="spellStart"/>
      <w:r w:rsidR="00086908">
        <w:t>Moyn</w:t>
      </w:r>
      <w:proofErr w:type="spellEnd"/>
      <w:r w:rsidR="00086908">
        <w:t xml:space="preserve">, “The Supreme Court Should Overturn the Colorado Ruling Unanimously,” </w:t>
      </w:r>
      <w:r w:rsidR="00086908">
        <w:rPr>
          <w:i/>
          <w:iCs/>
        </w:rPr>
        <w:t>The New York Times</w:t>
      </w:r>
      <w:r w:rsidR="00086908">
        <w:t xml:space="preserve">, December 22, 2024, </w:t>
      </w:r>
      <w:r w:rsidR="00086908" w:rsidRPr="00086908">
        <w:t>https://www.nytimes.com/2023/12/22/opinion/trump-colorado-ballot-ban.html#:~:text=By%20Samuel%20Moyn.%20Mr.%20Moyn%20is%20a%20professor%20of%20la</w:t>
      </w:r>
      <w:r w:rsidR="00086908">
        <w:t>w.</w:t>
      </w:r>
    </w:p>
  </w:footnote>
  <w:footnote w:id="37">
    <w:p w14:paraId="56B3642B" w14:textId="57321D65" w:rsidR="00F74F1B" w:rsidRPr="00086908" w:rsidRDefault="00F74F1B">
      <w:pPr>
        <w:pStyle w:val="FootnoteText"/>
      </w:pPr>
      <w:r>
        <w:rPr>
          <w:rStyle w:val="FootnoteReference"/>
        </w:rPr>
        <w:footnoteRef/>
      </w:r>
      <w:r>
        <w:t xml:space="preserve"> </w:t>
      </w:r>
      <w:r w:rsidR="00086908">
        <w:t xml:space="preserve">See Samuel Issacharoff, “Trump’s Trials for Democracy,” </w:t>
      </w:r>
      <w:proofErr w:type="spellStart"/>
      <w:r w:rsidR="00086908">
        <w:rPr>
          <w:i/>
          <w:iCs/>
        </w:rPr>
        <w:t>Verfassungsblog</w:t>
      </w:r>
      <w:proofErr w:type="spellEnd"/>
      <w:r w:rsidR="00086908">
        <w:rPr>
          <w:i/>
          <w:iCs/>
        </w:rPr>
        <w:t xml:space="preserve">, </w:t>
      </w:r>
      <w:r w:rsidR="00086908" w:rsidRPr="00086908">
        <w:t>February 19, 2024,</w:t>
      </w:r>
      <w:r w:rsidR="00086908">
        <w:rPr>
          <w:i/>
          <w:iCs/>
        </w:rPr>
        <w:t xml:space="preserve"> </w:t>
      </w:r>
      <w:r w:rsidR="00086908" w:rsidRPr="00086908">
        <w:t>https://verfassungsblog.de/trumps-trials-for-democracy</w:t>
      </w:r>
      <w:r w:rsidR="00086908">
        <w:t>/.</w:t>
      </w:r>
    </w:p>
  </w:footnote>
  <w:footnote w:id="38">
    <w:p w14:paraId="6ACD2769" w14:textId="419E2383" w:rsidR="00A96B1A" w:rsidRPr="00F74F1B" w:rsidRDefault="00A96B1A">
      <w:pPr>
        <w:pStyle w:val="FootnoteText"/>
      </w:pPr>
      <w:r>
        <w:rPr>
          <w:rStyle w:val="FootnoteReference"/>
        </w:rPr>
        <w:footnoteRef/>
      </w:r>
      <w:r>
        <w:t xml:space="preserve"> </w:t>
      </w:r>
      <w:r w:rsidR="00F74F1B">
        <w:t xml:space="preserve">See William Baude &amp; Michael Stokes Paulsen, “Sweeping Section Three under the Rug: A comment on </w:t>
      </w:r>
      <w:r w:rsidR="00F74F1B">
        <w:rPr>
          <w:i/>
          <w:iCs/>
        </w:rPr>
        <w:t>Trump v. Anderson</w:t>
      </w:r>
      <w:r w:rsidR="00F74F1B">
        <w:t xml:space="preserve">,” 138 </w:t>
      </w:r>
      <w:r w:rsidR="00F74F1B">
        <w:rPr>
          <w:i/>
          <w:iCs/>
        </w:rPr>
        <w:t xml:space="preserve">Harvard Law Review </w:t>
      </w:r>
      <w:r w:rsidR="00F74F1B">
        <w:t>___ (forthcoming 2025).</w:t>
      </w:r>
    </w:p>
  </w:footnote>
  <w:footnote w:id="39">
    <w:p w14:paraId="496BC08B" w14:textId="3C932FF2" w:rsidR="00F74F1B" w:rsidRPr="00F74F1B" w:rsidRDefault="00A96B1A" w:rsidP="00F74F1B">
      <w:pPr>
        <w:spacing w:after="0" w:line="240" w:lineRule="auto"/>
        <w:rPr>
          <w:rFonts w:eastAsia="Times New Roman" w:cs="Times New Roman"/>
          <w:b/>
        </w:rPr>
      </w:pPr>
      <w:r w:rsidRPr="00F74F1B">
        <w:rPr>
          <w:rStyle w:val="FootnoteReference"/>
        </w:rPr>
        <w:footnoteRef/>
      </w:r>
      <w:r w:rsidR="00F74F1B" w:rsidRPr="00F74F1B">
        <w:t xml:space="preserve"> See Graber, “Insurrection;” Graber, “Is Donald Trump’s Innocence Irrelevant</w:t>
      </w:r>
      <w:proofErr w:type="gramStart"/>
      <w:r w:rsidR="00F74F1B">
        <w:t xml:space="preserve">; </w:t>
      </w:r>
      <w:r w:rsidR="00F74F1B" w:rsidRPr="00F74F1B">
        <w:t>”</w:t>
      </w:r>
      <w:proofErr w:type="gramEnd"/>
      <w:r w:rsidR="00F74F1B" w:rsidRPr="00F74F1B">
        <w:t xml:space="preserve"> Mark A. Graber, </w:t>
      </w:r>
      <w:r w:rsidR="00F74F1B">
        <w:t xml:space="preserve">“Originalism as Novelty and Originalism as Authentic: </w:t>
      </w:r>
      <w:r w:rsidR="00F74F1B">
        <w:rPr>
          <w:i/>
          <w:iCs/>
        </w:rPr>
        <w:t xml:space="preserve">Trump v. Anderson v. The Reconstruction’s Fourteenth Amendment,” </w:t>
      </w:r>
      <w:r w:rsidR="00F74F1B">
        <w:t xml:space="preserve">George Washington Law Review Arguendo (forthcoming 2024). </w:t>
      </w:r>
    </w:p>
    <w:p w14:paraId="5CBE8CE2" w14:textId="45C65DED" w:rsidR="00A96B1A" w:rsidRDefault="00A96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995875"/>
      <w:docPartObj>
        <w:docPartGallery w:val="Page Numbers (Top of Page)"/>
        <w:docPartUnique/>
      </w:docPartObj>
    </w:sdtPr>
    <w:sdtEndPr>
      <w:rPr>
        <w:noProof/>
      </w:rPr>
    </w:sdtEndPr>
    <w:sdtContent>
      <w:p w14:paraId="5959ED18" w14:textId="41D4E504" w:rsidR="001243BD" w:rsidRDefault="001243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C5E699" w14:textId="77777777" w:rsidR="001243BD" w:rsidRDefault="00124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BD"/>
    <w:rsid w:val="00001432"/>
    <w:rsid w:val="00086908"/>
    <w:rsid w:val="001243BD"/>
    <w:rsid w:val="001471CF"/>
    <w:rsid w:val="00153BEB"/>
    <w:rsid w:val="00214D6B"/>
    <w:rsid w:val="00237D86"/>
    <w:rsid w:val="00253BE8"/>
    <w:rsid w:val="002A1479"/>
    <w:rsid w:val="002D489A"/>
    <w:rsid w:val="00307FE3"/>
    <w:rsid w:val="0033476E"/>
    <w:rsid w:val="0034495A"/>
    <w:rsid w:val="00373DB1"/>
    <w:rsid w:val="0044573E"/>
    <w:rsid w:val="004A41B3"/>
    <w:rsid w:val="0052053C"/>
    <w:rsid w:val="005366B0"/>
    <w:rsid w:val="005464F2"/>
    <w:rsid w:val="00573CAB"/>
    <w:rsid w:val="005A7086"/>
    <w:rsid w:val="006B1B3F"/>
    <w:rsid w:val="00756E8F"/>
    <w:rsid w:val="00771F4D"/>
    <w:rsid w:val="007D6B42"/>
    <w:rsid w:val="008F2180"/>
    <w:rsid w:val="00922FA5"/>
    <w:rsid w:val="00955721"/>
    <w:rsid w:val="00984FCE"/>
    <w:rsid w:val="009C3AC5"/>
    <w:rsid w:val="009E68D4"/>
    <w:rsid w:val="00A23DD4"/>
    <w:rsid w:val="00A53425"/>
    <w:rsid w:val="00A54C39"/>
    <w:rsid w:val="00A96B1A"/>
    <w:rsid w:val="00AB797E"/>
    <w:rsid w:val="00AB7A94"/>
    <w:rsid w:val="00AD26E2"/>
    <w:rsid w:val="00BA0D08"/>
    <w:rsid w:val="00BF3ABC"/>
    <w:rsid w:val="00C32526"/>
    <w:rsid w:val="00C75EAC"/>
    <w:rsid w:val="00CB439D"/>
    <w:rsid w:val="00CF4871"/>
    <w:rsid w:val="00D54E53"/>
    <w:rsid w:val="00D95DD1"/>
    <w:rsid w:val="00DE3625"/>
    <w:rsid w:val="00E504A0"/>
    <w:rsid w:val="00E95F37"/>
    <w:rsid w:val="00F74F1B"/>
    <w:rsid w:val="00F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7DE"/>
  <w15:chartTrackingRefBased/>
  <w15:docId w15:val="{82DFAB43-8F22-4226-BB13-1209C8F4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3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3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3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3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3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3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3BD"/>
    <w:pPr>
      <w:spacing w:before="160"/>
      <w:jc w:val="center"/>
    </w:pPr>
    <w:rPr>
      <w:i/>
      <w:iCs/>
      <w:color w:val="404040" w:themeColor="text1" w:themeTint="BF"/>
    </w:rPr>
  </w:style>
  <w:style w:type="character" w:customStyle="1" w:styleId="QuoteChar">
    <w:name w:val="Quote Char"/>
    <w:basedOn w:val="DefaultParagraphFont"/>
    <w:link w:val="Quote"/>
    <w:uiPriority w:val="29"/>
    <w:rsid w:val="001243BD"/>
    <w:rPr>
      <w:i/>
      <w:iCs/>
      <w:color w:val="404040" w:themeColor="text1" w:themeTint="BF"/>
    </w:rPr>
  </w:style>
  <w:style w:type="paragraph" w:styleId="ListParagraph">
    <w:name w:val="List Paragraph"/>
    <w:basedOn w:val="Normal"/>
    <w:uiPriority w:val="34"/>
    <w:qFormat/>
    <w:rsid w:val="001243BD"/>
    <w:pPr>
      <w:ind w:left="720"/>
      <w:contextualSpacing/>
    </w:pPr>
  </w:style>
  <w:style w:type="character" w:styleId="IntenseEmphasis">
    <w:name w:val="Intense Emphasis"/>
    <w:basedOn w:val="DefaultParagraphFont"/>
    <w:uiPriority w:val="21"/>
    <w:qFormat/>
    <w:rsid w:val="001243BD"/>
    <w:rPr>
      <w:i/>
      <w:iCs/>
      <w:color w:val="0F4761" w:themeColor="accent1" w:themeShade="BF"/>
    </w:rPr>
  </w:style>
  <w:style w:type="paragraph" w:styleId="IntenseQuote">
    <w:name w:val="Intense Quote"/>
    <w:basedOn w:val="Normal"/>
    <w:next w:val="Normal"/>
    <w:link w:val="IntenseQuoteChar"/>
    <w:uiPriority w:val="30"/>
    <w:qFormat/>
    <w:rsid w:val="0012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3BD"/>
    <w:rPr>
      <w:i/>
      <w:iCs/>
      <w:color w:val="0F4761" w:themeColor="accent1" w:themeShade="BF"/>
    </w:rPr>
  </w:style>
  <w:style w:type="character" w:styleId="IntenseReference">
    <w:name w:val="Intense Reference"/>
    <w:basedOn w:val="DefaultParagraphFont"/>
    <w:uiPriority w:val="32"/>
    <w:qFormat/>
    <w:rsid w:val="001243BD"/>
    <w:rPr>
      <w:b/>
      <w:bCs/>
      <w:smallCaps/>
      <w:color w:val="0F4761" w:themeColor="accent1" w:themeShade="BF"/>
      <w:spacing w:val="5"/>
    </w:rPr>
  </w:style>
  <w:style w:type="paragraph" w:styleId="Header">
    <w:name w:val="header"/>
    <w:basedOn w:val="Normal"/>
    <w:link w:val="HeaderChar"/>
    <w:uiPriority w:val="99"/>
    <w:unhideWhenUsed/>
    <w:rsid w:val="00124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BD"/>
  </w:style>
  <w:style w:type="paragraph" w:styleId="Footer">
    <w:name w:val="footer"/>
    <w:basedOn w:val="Normal"/>
    <w:link w:val="FooterChar"/>
    <w:uiPriority w:val="99"/>
    <w:unhideWhenUsed/>
    <w:rsid w:val="00124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BD"/>
  </w:style>
  <w:style w:type="paragraph" w:styleId="FootnoteText">
    <w:name w:val="footnote text"/>
    <w:basedOn w:val="Normal"/>
    <w:link w:val="FootnoteTextChar"/>
    <w:uiPriority w:val="99"/>
    <w:semiHidden/>
    <w:unhideWhenUsed/>
    <w:rsid w:val="00922FA5"/>
    <w:pPr>
      <w:spacing w:after="0" w:line="240" w:lineRule="auto"/>
    </w:pPr>
  </w:style>
  <w:style w:type="character" w:customStyle="1" w:styleId="FootnoteTextChar">
    <w:name w:val="Footnote Text Char"/>
    <w:basedOn w:val="DefaultParagraphFont"/>
    <w:link w:val="FootnoteText"/>
    <w:uiPriority w:val="99"/>
    <w:semiHidden/>
    <w:rsid w:val="00922FA5"/>
  </w:style>
  <w:style w:type="character" w:styleId="FootnoteReference">
    <w:name w:val="footnote reference"/>
    <w:basedOn w:val="DefaultParagraphFont"/>
    <w:uiPriority w:val="99"/>
    <w:unhideWhenUsed/>
    <w:rsid w:val="00922FA5"/>
    <w:rPr>
      <w:vertAlign w:val="superscript"/>
    </w:rPr>
  </w:style>
  <w:style w:type="paragraph" w:customStyle="1" w:styleId="Footnote">
    <w:name w:val="Footnote"/>
    <w:basedOn w:val="Normal"/>
    <w:qFormat/>
    <w:rsid w:val="00373DB1"/>
    <w:pPr>
      <w:tabs>
        <w:tab w:val="left" w:pos="475"/>
        <w:tab w:val="left" w:pos="835"/>
        <w:tab w:val="left" w:pos="1195"/>
        <w:tab w:val="left" w:pos="1555"/>
      </w:tabs>
      <w:spacing w:after="0" w:line="240" w:lineRule="exact"/>
      <w:ind w:firstLine="360"/>
      <w:jc w:val="both"/>
    </w:pPr>
    <w:rPr>
      <w:rFonts w:eastAsia="Calibri" w:cs="Arial"/>
      <w:kern w:val="0"/>
      <w:szCs w:val="22"/>
      <w14:ligatures w14:val="none"/>
    </w:rPr>
  </w:style>
  <w:style w:type="character" w:styleId="Hyperlink">
    <w:name w:val="Hyperlink"/>
    <w:uiPriority w:val="99"/>
    <w:unhideWhenUsed/>
    <w:rsid w:val="00373DB1"/>
    <w:rPr>
      <w:color w:val="auto"/>
      <w:u w:val="none"/>
    </w:rPr>
  </w:style>
  <w:style w:type="paragraph" w:customStyle="1" w:styleId="FootNote0">
    <w:name w:val="_FootNote"/>
    <w:basedOn w:val="Normal"/>
    <w:link w:val="FootNoteChar"/>
    <w:qFormat/>
    <w:rsid w:val="00A53425"/>
    <w:pPr>
      <w:suppressLineNumbers/>
      <w:tabs>
        <w:tab w:val="right" w:pos="480"/>
        <w:tab w:val="left" w:pos="560"/>
      </w:tabs>
      <w:spacing w:before="20" w:after="0" w:line="200" w:lineRule="exact"/>
      <w:jc w:val="both"/>
    </w:pPr>
    <w:rPr>
      <w:rFonts w:eastAsia="Times New Roman" w:cs="Times New Roman"/>
      <w:kern w:val="0"/>
      <w:sz w:val="17"/>
      <w14:ligatures w14:val="none"/>
    </w:rPr>
  </w:style>
  <w:style w:type="character" w:customStyle="1" w:styleId="FootNoteChar">
    <w:name w:val="_FootNote Char"/>
    <w:basedOn w:val="DefaultParagraphFont"/>
    <w:link w:val="FootNote0"/>
    <w:rsid w:val="00A53425"/>
    <w:rPr>
      <w:rFonts w:eastAsia="Times New Roman" w:cs="Times New Roman"/>
      <w:kern w:val="0"/>
      <w:sz w:val="17"/>
      <w14:ligatures w14:val="none"/>
    </w:rPr>
  </w:style>
  <w:style w:type="paragraph" w:styleId="CommentText">
    <w:name w:val="annotation text"/>
    <w:basedOn w:val="Normal"/>
    <w:link w:val="CommentTextChar"/>
    <w:uiPriority w:val="99"/>
    <w:unhideWhenUsed/>
    <w:rsid w:val="00C75EAC"/>
    <w:pPr>
      <w:spacing w:line="240" w:lineRule="auto"/>
    </w:pPr>
    <w:rPr>
      <w:rFonts w:eastAsia="Aptos" w:cs="Aptos"/>
      <w:kern w:val="0"/>
      <w14:ligatures w14:val="none"/>
    </w:rPr>
  </w:style>
  <w:style w:type="character" w:customStyle="1" w:styleId="CommentTextChar">
    <w:name w:val="Comment Text Char"/>
    <w:basedOn w:val="DefaultParagraphFont"/>
    <w:link w:val="CommentText"/>
    <w:uiPriority w:val="99"/>
    <w:rsid w:val="00C75EAC"/>
    <w:rPr>
      <w:rFonts w:eastAsia="Aptos" w:cs="Aptos"/>
      <w:kern w:val="0"/>
      <w14:ligatures w14:val="none"/>
    </w:rPr>
  </w:style>
  <w:style w:type="character" w:styleId="CommentReference">
    <w:name w:val="annotation reference"/>
    <w:basedOn w:val="DefaultParagraphFont"/>
    <w:uiPriority w:val="99"/>
    <w:semiHidden/>
    <w:unhideWhenUsed/>
    <w:rsid w:val="00C75E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ine.gov/sos/news/2023/Decision%20in%20Challenge%20to%20Trump%20Presidential%20Primary%20Petitions.pdf" TargetMode="External"/><Relationship Id="rId2" Type="http://schemas.openxmlformats.org/officeDocument/2006/relationships/hyperlink" Target="https://perma.cc/S8GC-HZNF" TargetMode="External"/><Relationship Id="rId1" Type="http://schemas.openxmlformats.org/officeDocument/2006/relationships/hyperlink" Target="https://www.maine.gov/sos/news/2023/Decision%20in%20Challenge%20to%20Trump%20Presidential%20Primary%20Petitions.pdf" TargetMode="External"/><Relationship Id="rId4" Type="http://schemas.openxmlformats.org/officeDocument/2006/relationships/hyperlink" Target="https://perma.cc/S8GC-HZ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EB11-744F-4466-B255-A36C12CB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10</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Mark Graber</cp:lastModifiedBy>
  <cp:revision>3</cp:revision>
  <dcterms:created xsi:type="dcterms:W3CDTF">2024-08-31T18:18:00Z</dcterms:created>
  <dcterms:modified xsi:type="dcterms:W3CDTF">2024-10-01T17:15:00Z</dcterms:modified>
</cp:coreProperties>
</file>